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shd w:val="clear" w:color="auto" w:fill="FFFFFF"/>
        </w:rPr>
      </w:pPr>
    </w:p>
    <w:p>
      <w:pPr>
        <w:spacing w:line="620" w:lineRule="exact"/>
        <w:jc w:val="center"/>
        <w:rPr>
          <w:rFonts w:ascii="方正小标宋简体" w:hAnsi="方正小标宋简体" w:eastAsia="方正小标宋简体" w:cs="方正小标宋简体"/>
          <w:sz w:val="44"/>
          <w:szCs w:val="44"/>
          <w:shd w:val="clear" w:color="auto" w:fill="FFFFFF"/>
        </w:rPr>
      </w:pPr>
    </w:p>
    <w:p>
      <w:pPr>
        <w:spacing w:line="620" w:lineRule="exact"/>
        <w:jc w:val="center"/>
        <w:rPr>
          <w:rFonts w:ascii="方正小标宋简体" w:hAnsi="方正小标宋简体" w:eastAsia="方正小标宋简体" w:cs="方正小标宋简体"/>
          <w:sz w:val="44"/>
          <w:szCs w:val="44"/>
          <w:shd w:val="clear" w:color="auto" w:fill="FFFFFF"/>
        </w:rPr>
      </w:pPr>
    </w:p>
    <w:p>
      <w:pPr>
        <w:spacing w:line="620" w:lineRule="exact"/>
        <w:jc w:val="center"/>
        <w:rPr>
          <w:rFonts w:ascii="方正小标宋简体" w:hAnsi="方正小标宋简体" w:eastAsia="方正小标宋简体" w:cs="方正小标宋简体"/>
          <w:sz w:val="44"/>
          <w:szCs w:val="44"/>
          <w:shd w:val="clear" w:color="auto" w:fill="FFFFFF"/>
        </w:rPr>
      </w:pPr>
      <w:r>
        <w:rPr>
          <w:rFonts w:ascii="方正小标宋简体" w:hAnsi="方正小标宋简体" w:eastAsia="方正小标宋简体" w:cs="方正小标宋简体"/>
          <w:sz w:val="44"/>
          <w:szCs w:val="44"/>
          <w:shd w:val="clear" w:color="auto" w:fill="FFFFFF"/>
        </w:rPr>
        <w:t>中国共产党遂宁市纪律检查委员会</w:t>
      </w:r>
    </w:p>
    <w:p>
      <w:pPr>
        <w:spacing w:line="62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lang w:val="en-US" w:eastAsia="zh-CN"/>
        </w:rPr>
        <w:t>关于</w:t>
      </w:r>
      <w:r>
        <w:rPr>
          <w:rFonts w:hint="eastAsia" w:ascii="方正小标宋简体" w:hAnsi="方正小标宋简体" w:eastAsia="方正小标宋简体" w:cs="方正小标宋简体"/>
          <w:sz w:val="44"/>
          <w:szCs w:val="44"/>
          <w:shd w:val="clear" w:color="auto" w:fill="FFFFFF"/>
        </w:rPr>
        <w:t>2024年度部门整体支出绩效自评</w:t>
      </w:r>
      <w:r>
        <w:rPr>
          <w:rFonts w:hint="eastAsia" w:ascii="方正小标宋简体" w:hAnsi="方正小标宋简体" w:eastAsia="方正小标宋简体" w:cs="方正小标宋简体"/>
          <w:sz w:val="44"/>
          <w:szCs w:val="44"/>
          <w:shd w:val="clear" w:color="auto" w:fill="FFFFFF"/>
          <w:lang w:eastAsia="zh-CN"/>
        </w:rPr>
        <w:t>的</w:t>
      </w:r>
      <w:r>
        <w:rPr>
          <w:rFonts w:hint="eastAsia" w:ascii="方正小标宋简体" w:hAnsi="方正小标宋简体" w:eastAsia="方正小标宋简体" w:cs="方正小标宋简体"/>
          <w:sz w:val="44"/>
          <w:szCs w:val="44"/>
          <w:shd w:val="clear" w:color="auto" w:fill="FFFFFF"/>
        </w:rPr>
        <w:t>报告</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 w:hAnsi="仿宋" w:eastAsia="仿宋" w:cs="Times New Roman"/>
          <w:kern w:val="2"/>
          <w:sz w:val="32"/>
          <w:szCs w:val="32"/>
          <w:lang w:val="en-US" w:eastAsia="zh-CN" w:bidi="ar-SA"/>
        </w:rPr>
      </w:pP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市财政局：</w:t>
      </w:r>
    </w:p>
    <w:p>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为深入贯彻落实党中央国务院、省委省政府和市委市政府关于全面实施预算绩效管理的决策部署，根据《中共遂宁市委办公室 遂宁市人民政府办公室印发&lt;关于深入实施预算绩效管理的工作方案&gt;的通知》（遂委办</w:t>
      </w:r>
      <w:r>
        <w:rPr>
          <w:rFonts w:hint="eastAsia" w:ascii="方正仿宋简体" w:hAnsi="方正仿宋简体" w:eastAsia="方正仿宋简体" w:cs="方正仿宋简体"/>
          <w:kern w:val="2"/>
          <w:sz w:val="32"/>
          <w:szCs w:val="32"/>
          <w:lang w:val="en-US" w:eastAsia="zh-CN" w:bidi="ar-SA"/>
        </w:rPr>
        <w:t>〔</w:t>
      </w:r>
      <w:r>
        <w:rPr>
          <w:rFonts w:hint="eastAsia" w:ascii="仿宋" w:hAnsi="仿宋" w:eastAsia="仿宋" w:cs="Times New Roman"/>
          <w:kern w:val="2"/>
          <w:sz w:val="32"/>
          <w:szCs w:val="32"/>
          <w:lang w:val="en-US" w:eastAsia="zh-CN" w:bidi="ar-SA"/>
        </w:rPr>
        <w:t>2022</w:t>
      </w:r>
      <w:r>
        <w:rPr>
          <w:rFonts w:hint="eastAsia" w:ascii="方正仿宋简体" w:hAnsi="方正仿宋简体" w:eastAsia="方正仿宋简体" w:cs="方正仿宋简体"/>
          <w:kern w:val="2"/>
          <w:sz w:val="32"/>
          <w:szCs w:val="32"/>
          <w:lang w:val="en-US" w:eastAsia="zh-CN" w:bidi="ar-SA"/>
        </w:rPr>
        <w:t>〕</w:t>
      </w:r>
      <w:r>
        <w:rPr>
          <w:rFonts w:hint="eastAsia" w:ascii="仿宋" w:hAnsi="仿宋" w:eastAsia="仿宋" w:cs="Times New Roman"/>
          <w:kern w:val="2"/>
          <w:sz w:val="32"/>
          <w:szCs w:val="32"/>
          <w:lang w:val="en-US" w:eastAsia="zh-CN" w:bidi="ar-SA"/>
        </w:rPr>
        <w:t>41号）、《遂宁市财政局关于印发&lt;推进财政绩效监督“三管三必须”落实见效实施办法&gt;的通知》（遂财预</w:t>
      </w:r>
      <w:r>
        <w:rPr>
          <w:rFonts w:hint="eastAsia" w:ascii="方正仿宋简体" w:hAnsi="方正仿宋简体" w:eastAsia="方正仿宋简体" w:cs="方正仿宋简体"/>
          <w:kern w:val="2"/>
          <w:sz w:val="32"/>
          <w:szCs w:val="32"/>
          <w:lang w:val="en-US" w:eastAsia="zh-CN" w:bidi="ar-SA"/>
        </w:rPr>
        <w:t>〔</w:t>
      </w:r>
      <w:r>
        <w:rPr>
          <w:rFonts w:hint="eastAsia" w:ascii="仿宋" w:hAnsi="仿宋" w:eastAsia="仿宋" w:cs="Times New Roman"/>
          <w:kern w:val="2"/>
          <w:sz w:val="32"/>
          <w:szCs w:val="32"/>
          <w:lang w:val="en-US" w:eastAsia="zh-CN" w:bidi="ar-SA"/>
        </w:rPr>
        <w:t>2025</w:t>
      </w:r>
      <w:r>
        <w:rPr>
          <w:rFonts w:hint="eastAsia" w:ascii="方正仿宋简体" w:hAnsi="方正仿宋简体" w:eastAsia="方正仿宋简体" w:cs="方正仿宋简体"/>
          <w:kern w:val="2"/>
          <w:sz w:val="32"/>
          <w:szCs w:val="32"/>
          <w:lang w:val="en-US" w:eastAsia="zh-CN" w:bidi="ar-SA"/>
        </w:rPr>
        <w:t>〕</w:t>
      </w:r>
      <w:r>
        <w:rPr>
          <w:rFonts w:hint="eastAsia" w:ascii="仿宋" w:hAnsi="仿宋" w:eastAsia="仿宋" w:cs="Times New Roman"/>
          <w:kern w:val="2"/>
          <w:sz w:val="32"/>
          <w:szCs w:val="32"/>
          <w:lang w:val="en-US" w:eastAsia="zh-CN" w:bidi="ar-SA"/>
        </w:rPr>
        <w:t>]2号）、《遂宁市财政局&lt;关于开展2025年部门、项目、政策支出绩效自评工作&gt;的通知》（遂财绩[2025]1号）的有关要求，我单位组织开展了2024年部门绩效自评工作，现将绩效自评工作有关事项报告如下：</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黑体" w:hAnsi="宋体" w:eastAsia="黑体" w:cs="宋体"/>
          <w:color w:val="000000"/>
          <w:kern w:val="0"/>
          <w:szCs w:val="32"/>
          <w:shd w:val="clear" w:color="auto" w:fill="FFFFFF"/>
          <w:lang w:val="zh-CN" w:eastAsia="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w:t>
      </w:r>
      <w:r>
        <w:rPr>
          <w:rFonts w:hint="eastAsia" w:ascii="黑体" w:hAnsi="宋体" w:eastAsia="黑体" w:cs="宋体"/>
          <w:color w:val="000000"/>
          <w:kern w:val="0"/>
          <w:szCs w:val="32"/>
          <w:shd w:val="clear" w:color="auto" w:fill="FFFFFF"/>
          <w:lang w:val="en-US" w:eastAsia="zh-CN"/>
        </w:rPr>
        <w:t>基本情况</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outlineLvl w:val="9"/>
        <w:rPr>
          <w:rFonts w:ascii="楷体_GB2312" w:hAnsi="宋体" w:eastAsia="楷体_GB2312" w:cs="宋体"/>
          <w:b/>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ascii="仿宋_GB2312" w:hAnsi="仿宋" w:cs="仿宋"/>
          <w:szCs w:val="32"/>
        </w:rPr>
      </w:pPr>
      <w:r>
        <w:rPr>
          <w:rFonts w:hint="eastAsia" w:ascii="仿宋" w:hAnsi="仿宋" w:eastAsia="仿宋"/>
          <w:szCs w:val="32"/>
        </w:rPr>
        <w:t>中国共产党遂宁市纪律检查委员会和遂宁市监察委员会共有内设机构2</w:t>
      </w:r>
      <w:r>
        <w:rPr>
          <w:rFonts w:hint="eastAsia" w:ascii="仿宋" w:hAnsi="仿宋" w:eastAsia="仿宋"/>
          <w:szCs w:val="32"/>
          <w:lang w:val="en-US" w:eastAsia="zh-CN"/>
        </w:rPr>
        <w:t>1</w:t>
      </w:r>
      <w:r>
        <w:rPr>
          <w:rFonts w:hint="eastAsia" w:ascii="仿宋" w:hAnsi="仿宋" w:eastAsia="仿宋"/>
          <w:szCs w:val="32"/>
        </w:rPr>
        <w:t>个，下属二级预算单位遂宁市纪检监察干部教育培训中心属独立核算的财政全额拨款的事业单位、公益一类事业单位。</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outlineLvl w:val="9"/>
        <w:rPr>
          <w:rFonts w:ascii="楷体_GB2312" w:hAnsi="宋体" w:eastAsia="楷体_GB2312" w:cs="宋体"/>
          <w:b/>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ascii="仿宋" w:hAnsi="仿宋" w:eastAsia="仿宋"/>
          <w:szCs w:val="32"/>
        </w:rPr>
      </w:pPr>
      <w:r>
        <w:rPr>
          <w:rFonts w:hint="eastAsia" w:ascii="仿宋" w:hAnsi="仿宋" w:eastAsia="仿宋"/>
          <w:szCs w:val="32"/>
        </w:rPr>
        <w:t>中国共产党遂宁市纪律检查委员会与遂宁市监察委员会合署办公，实行一套工作机构、两个机关名称，履行党的纪律检查和国家监察两项职能，在四川省纪委监委和中共遂宁市委双重领导下开展工作。遂宁市纪检监察干部教育培训中心是市纪委下属的事业单位，主要为全市纪律审查调查、纪检监察系统干部职工培训及留置工作提供后勤保障服务。</w:t>
      </w:r>
    </w:p>
    <w:p>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firstLine="643" w:firstLineChars="200"/>
        <w:contextualSpacing/>
        <w:jc w:val="left"/>
        <w:textAlignment w:val="auto"/>
        <w:outlineLvl w:val="9"/>
        <w:rPr>
          <w:rFonts w:hint="eastAsia" w:ascii="楷体_GB2312" w:hAnsi="宋体" w:eastAsia="楷体_GB2312" w:cs="宋体"/>
          <w:b/>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sz w:val="33"/>
          <w:szCs w:val="33"/>
        </w:rPr>
      </w:pPr>
      <w:r>
        <w:rPr>
          <w:rFonts w:hint="eastAsia" w:ascii="仿宋" w:hAnsi="仿宋" w:eastAsia="仿宋"/>
          <w:szCs w:val="32"/>
        </w:rPr>
        <w:t>遂宁市纪委监委机关202</w:t>
      </w:r>
      <w:r>
        <w:rPr>
          <w:rFonts w:ascii="仿宋" w:hAnsi="仿宋" w:eastAsia="仿宋"/>
          <w:szCs w:val="32"/>
        </w:rPr>
        <w:t>4</w:t>
      </w:r>
      <w:r>
        <w:rPr>
          <w:rFonts w:hint="eastAsia" w:ascii="仿宋" w:hAnsi="仿宋" w:eastAsia="仿宋"/>
          <w:szCs w:val="32"/>
        </w:rPr>
        <w:t>年末一般公共预算财政拨款（补助）开支人数</w:t>
      </w:r>
      <w:r>
        <w:rPr>
          <w:rFonts w:ascii="仿宋" w:hAnsi="仿宋" w:eastAsia="仿宋"/>
          <w:szCs w:val="32"/>
        </w:rPr>
        <w:t>146</w:t>
      </w:r>
      <w:r>
        <w:rPr>
          <w:rFonts w:hint="eastAsia" w:ascii="仿宋" w:hAnsi="仿宋" w:eastAsia="仿宋"/>
          <w:szCs w:val="32"/>
        </w:rPr>
        <w:t>人，其中在职人员</w:t>
      </w:r>
      <w:r>
        <w:rPr>
          <w:rFonts w:ascii="仿宋" w:hAnsi="仿宋" w:eastAsia="仿宋"/>
          <w:szCs w:val="32"/>
        </w:rPr>
        <w:t>146</w:t>
      </w:r>
      <w:r>
        <w:rPr>
          <w:rFonts w:hint="eastAsia" w:ascii="仿宋" w:hAnsi="仿宋" w:eastAsia="仿宋"/>
          <w:szCs w:val="32"/>
        </w:rPr>
        <w:t>人（含行政编制</w:t>
      </w:r>
      <w:r>
        <w:rPr>
          <w:rFonts w:ascii="仿宋" w:hAnsi="仿宋" w:eastAsia="仿宋"/>
          <w:szCs w:val="32"/>
        </w:rPr>
        <w:t>143</w:t>
      </w:r>
      <w:r>
        <w:rPr>
          <w:rFonts w:hint="eastAsia" w:ascii="仿宋" w:hAnsi="仿宋" w:eastAsia="仿宋"/>
          <w:szCs w:val="32"/>
        </w:rPr>
        <w:t>人，事业编制</w:t>
      </w:r>
      <w:r>
        <w:rPr>
          <w:rFonts w:ascii="仿宋" w:hAnsi="仿宋" w:eastAsia="仿宋"/>
          <w:szCs w:val="32"/>
        </w:rPr>
        <w:t>3</w:t>
      </w:r>
      <w:r>
        <w:rPr>
          <w:rFonts w:hint="eastAsia" w:ascii="仿宋" w:hAnsi="仿宋" w:eastAsia="仿宋"/>
          <w:szCs w:val="32"/>
        </w:rPr>
        <w:t>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outlineLvl w:val="9"/>
        <w:rPr>
          <w:rFonts w:ascii="楷体_GB2312" w:hAnsi="宋体" w:eastAsia="楷体_GB2312" w:cs="宋体"/>
          <w:b/>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（一）部门财政资金收入情况</w:t>
      </w:r>
    </w:p>
    <w:p>
      <w:pPr>
        <w:keepNext w:val="0"/>
        <w:keepLines w:val="0"/>
        <w:pageBreakBefore w:val="0"/>
        <w:kinsoku/>
        <w:wordWrap/>
        <w:overflowPunct/>
        <w:topLinePunct w:val="0"/>
        <w:autoSpaceDE/>
        <w:autoSpaceDN/>
        <w:bidi w:val="0"/>
        <w:snapToGrid w:val="0"/>
        <w:spacing w:line="580" w:lineRule="exact"/>
        <w:ind w:firstLine="640" w:firstLineChars="200"/>
        <w:textAlignment w:val="auto"/>
        <w:outlineLvl w:val="9"/>
        <w:rPr>
          <w:rFonts w:ascii="仿宋" w:hAnsi="仿宋" w:eastAsia="仿宋" w:cs="仿宋"/>
          <w:szCs w:val="32"/>
        </w:rPr>
      </w:pPr>
      <w:r>
        <w:rPr>
          <w:rFonts w:ascii="仿宋" w:hAnsi="仿宋" w:eastAsia="仿宋"/>
          <w:color w:val="000000"/>
          <w:szCs w:val="32"/>
        </w:rPr>
        <w:t>20</w:t>
      </w:r>
      <w:r>
        <w:rPr>
          <w:rFonts w:hint="eastAsia" w:ascii="仿宋" w:hAnsi="仿宋" w:eastAsia="仿宋"/>
          <w:color w:val="000000"/>
          <w:szCs w:val="32"/>
        </w:rPr>
        <w:t>24年一般公共预算财政拨款收入</w:t>
      </w:r>
      <w:r>
        <w:rPr>
          <w:rFonts w:hint="eastAsia" w:ascii="仿宋" w:hAnsi="仿宋" w:eastAsia="仿宋"/>
          <w:color w:val="000000"/>
          <w:szCs w:val="32"/>
          <w:lang w:val="en-US" w:eastAsia="zh-CN"/>
        </w:rPr>
        <w:t>4803.83</w:t>
      </w:r>
      <w:r>
        <w:rPr>
          <w:rFonts w:hint="eastAsia" w:ascii="仿宋" w:hAnsi="仿宋" w:eastAsia="仿宋"/>
          <w:color w:val="000000"/>
          <w:szCs w:val="32"/>
        </w:rPr>
        <w:t>万元，主要用于以下方面</w:t>
      </w:r>
      <w:r>
        <w:rPr>
          <w:rFonts w:ascii="仿宋" w:hAnsi="仿宋" w:eastAsia="仿宋"/>
          <w:color w:val="000000"/>
          <w:szCs w:val="32"/>
        </w:rPr>
        <w:t>:</w:t>
      </w:r>
      <w:r>
        <w:rPr>
          <w:rFonts w:hint="eastAsia" w:ascii="仿宋" w:hAnsi="仿宋" w:eastAsia="仿宋"/>
          <w:bCs/>
          <w:color w:val="000000"/>
          <w:szCs w:val="32"/>
          <w:lang w:val="en-US" w:eastAsia="zh-CN"/>
        </w:rPr>
        <w:t>一般公共服务</w:t>
      </w:r>
      <w:r>
        <w:rPr>
          <w:rFonts w:hint="eastAsia" w:ascii="仿宋" w:hAnsi="仿宋" w:eastAsia="仿宋"/>
          <w:bCs/>
          <w:color w:val="000000"/>
          <w:szCs w:val="32"/>
        </w:rPr>
        <w:t>（类）支出</w:t>
      </w:r>
      <w:r>
        <w:rPr>
          <w:rFonts w:hint="eastAsia" w:ascii="仿宋" w:hAnsi="仿宋" w:eastAsia="仿宋"/>
          <w:bCs/>
          <w:color w:val="000000"/>
          <w:szCs w:val="32"/>
          <w:lang w:val="en-US" w:eastAsia="zh-CN"/>
        </w:rPr>
        <w:t>4114.72</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85.65</w:t>
      </w:r>
      <w:r>
        <w:rPr>
          <w:rFonts w:hint="eastAsia" w:ascii="仿宋" w:hAnsi="仿宋" w:eastAsia="仿宋"/>
          <w:bCs/>
          <w:color w:val="000000"/>
          <w:szCs w:val="32"/>
        </w:rPr>
        <w:t>%；社会保障和就业（类）支出</w:t>
      </w:r>
      <w:r>
        <w:rPr>
          <w:rFonts w:hint="eastAsia" w:ascii="仿宋" w:hAnsi="仿宋" w:eastAsia="仿宋"/>
          <w:bCs/>
          <w:color w:val="000000"/>
          <w:szCs w:val="32"/>
          <w:lang w:val="en-US" w:eastAsia="zh-CN"/>
        </w:rPr>
        <w:t>314.18</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6.54</w:t>
      </w:r>
      <w:r>
        <w:rPr>
          <w:rFonts w:ascii="仿宋" w:hAnsi="仿宋" w:eastAsia="仿宋"/>
          <w:bCs/>
          <w:color w:val="000000"/>
          <w:szCs w:val="32"/>
        </w:rPr>
        <w:t>%</w:t>
      </w:r>
      <w:r>
        <w:rPr>
          <w:rFonts w:hint="eastAsia" w:ascii="仿宋" w:hAnsi="仿宋" w:eastAsia="仿宋"/>
          <w:bCs/>
          <w:color w:val="000000"/>
          <w:szCs w:val="32"/>
        </w:rPr>
        <w:t>；卫生健康（类）支出</w:t>
      </w:r>
      <w:r>
        <w:rPr>
          <w:rFonts w:hint="eastAsia" w:ascii="仿宋" w:hAnsi="仿宋" w:eastAsia="仿宋"/>
          <w:bCs/>
          <w:color w:val="000000"/>
          <w:szCs w:val="32"/>
          <w:lang w:val="en-US" w:eastAsia="zh-CN"/>
        </w:rPr>
        <w:t>121.99</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5.54</w:t>
      </w:r>
      <w:r>
        <w:rPr>
          <w:rFonts w:ascii="仿宋" w:hAnsi="仿宋" w:eastAsia="仿宋"/>
          <w:bCs/>
          <w:color w:val="000000"/>
          <w:szCs w:val="32"/>
        </w:rPr>
        <w:t>%</w:t>
      </w:r>
      <w:r>
        <w:rPr>
          <w:rFonts w:hint="eastAsia" w:ascii="仿宋" w:hAnsi="仿宋" w:eastAsia="仿宋"/>
          <w:bCs/>
          <w:color w:val="000000"/>
          <w:szCs w:val="32"/>
        </w:rPr>
        <w:t>；住房保障（类）支出</w:t>
      </w:r>
      <w:r>
        <w:rPr>
          <w:rFonts w:hint="eastAsia" w:ascii="仿宋" w:hAnsi="仿宋" w:eastAsia="仿宋"/>
          <w:bCs/>
          <w:color w:val="000000"/>
          <w:szCs w:val="32"/>
          <w:lang w:val="en-US" w:eastAsia="zh-CN"/>
        </w:rPr>
        <w:t>252.94</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2.27</w:t>
      </w:r>
      <w:r>
        <w:rPr>
          <w:rFonts w:ascii="仿宋" w:hAnsi="仿宋" w:eastAsia="仿宋"/>
          <w:bCs/>
          <w:color w:val="000000"/>
          <w:szCs w:val="32"/>
        </w:rPr>
        <w:t>%</w:t>
      </w:r>
      <w:r>
        <w:rPr>
          <w:rFonts w:hint="eastAsia" w:ascii="仿宋" w:hAnsi="仿宋" w:eastAsia="仿宋"/>
          <w:bCs/>
          <w:color w:val="000000"/>
          <w:szCs w:val="32"/>
        </w:rPr>
        <w:t>。</w:t>
      </w:r>
    </w:p>
    <w:tbl>
      <w:tblPr>
        <w:tblStyle w:val="16"/>
        <w:tblpPr w:leftFromText="180" w:rightFromText="180" w:vertAnchor="text" w:horzAnchor="page" w:tblpX="1885" w:tblpY="155"/>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2"/>
        <w:gridCol w:w="1780"/>
        <w:gridCol w:w="15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012" w:type="dxa"/>
            <w:vAlign w:val="center"/>
          </w:tcPr>
          <w:p>
            <w:pPr>
              <w:pStyle w:val="28"/>
              <w:spacing w:line="360" w:lineRule="auto"/>
              <w:rPr>
                <w:b/>
                <w:bCs w:val="0"/>
                <w:sz w:val="24"/>
                <w:szCs w:val="24"/>
              </w:rPr>
            </w:pPr>
            <w:r>
              <w:rPr>
                <w:rFonts w:hint="eastAsia"/>
                <w:b/>
                <w:bCs w:val="0"/>
                <w:sz w:val="24"/>
                <w:szCs w:val="24"/>
              </w:rPr>
              <w:t>项目名称</w:t>
            </w:r>
          </w:p>
        </w:tc>
        <w:tc>
          <w:tcPr>
            <w:tcW w:w="1780" w:type="dxa"/>
            <w:vAlign w:val="center"/>
          </w:tcPr>
          <w:p>
            <w:pPr>
              <w:pStyle w:val="28"/>
              <w:spacing w:line="360" w:lineRule="auto"/>
              <w:rPr>
                <w:b/>
                <w:bCs w:val="0"/>
                <w:sz w:val="24"/>
                <w:szCs w:val="24"/>
              </w:rPr>
            </w:pPr>
            <w:r>
              <w:rPr>
                <w:rFonts w:hint="eastAsia"/>
                <w:b/>
                <w:bCs w:val="0"/>
                <w:sz w:val="24"/>
                <w:szCs w:val="24"/>
              </w:rPr>
              <w:t>年初预算</w:t>
            </w:r>
          </w:p>
        </w:tc>
        <w:tc>
          <w:tcPr>
            <w:tcW w:w="1564" w:type="dxa"/>
            <w:vAlign w:val="center"/>
          </w:tcPr>
          <w:p>
            <w:pPr>
              <w:pStyle w:val="28"/>
              <w:spacing w:line="360" w:lineRule="auto"/>
              <w:rPr>
                <w:b/>
                <w:bCs w:val="0"/>
                <w:sz w:val="24"/>
                <w:szCs w:val="24"/>
              </w:rPr>
            </w:pPr>
            <w:r>
              <w:rPr>
                <w:b/>
                <w:bCs w:val="0"/>
                <w:sz w:val="24"/>
                <w:szCs w:val="24"/>
              </w:rPr>
              <w:t>中期调整</w:t>
            </w:r>
          </w:p>
        </w:tc>
        <w:tc>
          <w:tcPr>
            <w:tcW w:w="1464" w:type="dxa"/>
            <w:vAlign w:val="center"/>
          </w:tcPr>
          <w:p>
            <w:pPr>
              <w:pStyle w:val="28"/>
              <w:spacing w:line="360" w:lineRule="auto"/>
              <w:rPr>
                <w:b/>
                <w:bCs w:val="0"/>
                <w:sz w:val="24"/>
                <w:szCs w:val="24"/>
              </w:rPr>
            </w:pPr>
            <w:r>
              <w:rPr>
                <w:b/>
                <w:bCs w:val="0"/>
                <w:sz w:val="24"/>
                <w:szCs w:val="24"/>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012" w:type="dxa"/>
            <w:vAlign w:val="center"/>
          </w:tcPr>
          <w:p>
            <w:pPr>
              <w:pStyle w:val="28"/>
              <w:spacing w:line="360" w:lineRule="auto"/>
              <w:jc w:val="left"/>
              <w:rPr>
                <w:sz w:val="24"/>
                <w:szCs w:val="24"/>
              </w:rPr>
            </w:pPr>
            <w:r>
              <w:rPr>
                <w:rFonts w:hint="eastAsia"/>
                <w:sz w:val="24"/>
                <w:szCs w:val="24"/>
              </w:rPr>
              <w:t>一、一般公共预算财政拨款收入</w:t>
            </w:r>
          </w:p>
        </w:tc>
        <w:tc>
          <w:tcPr>
            <w:tcW w:w="1780" w:type="dxa"/>
            <w:vAlign w:val="center"/>
          </w:tcPr>
          <w:p>
            <w:pPr>
              <w:pStyle w:val="28"/>
              <w:spacing w:line="360" w:lineRule="auto"/>
              <w:rPr>
                <w:rFonts w:hint="default" w:eastAsia="仿宋"/>
                <w:sz w:val="24"/>
                <w:szCs w:val="24"/>
                <w:lang w:val="en-US" w:eastAsia="zh-CN"/>
              </w:rPr>
            </w:pPr>
            <w:r>
              <w:rPr>
                <w:rFonts w:hint="eastAsia"/>
                <w:sz w:val="24"/>
                <w:szCs w:val="24"/>
                <w:shd w:val="clear" w:color="auto" w:fill="FFFFFF"/>
                <w:lang w:val="en-US" w:eastAsia="zh-CN"/>
              </w:rPr>
              <w:t>4125.21</w:t>
            </w:r>
          </w:p>
        </w:tc>
        <w:tc>
          <w:tcPr>
            <w:tcW w:w="1564" w:type="dxa"/>
            <w:vAlign w:val="center"/>
          </w:tcPr>
          <w:p>
            <w:pPr>
              <w:pStyle w:val="28"/>
              <w:spacing w:line="360" w:lineRule="auto"/>
              <w:rPr>
                <w:rFonts w:hint="default" w:eastAsia="仿宋"/>
                <w:sz w:val="24"/>
                <w:szCs w:val="24"/>
                <w:lang w:val="en-US" w:eastAsia="zh-CN"/>
              </w:rPr>
            </w:pPr>
            <w:r>
              <w:rPr>
                <w:rFonts w:hint="eastAsia"/>
                <w:sz w:val="24"/>
                <w:szCs w:val="24"/>
                <w:shd w:val="clear" w:color="auto" w:fill="FFFFFF"/>
                <w:lang w:val="en-US" w:eastAsia="zh-CN"/>
              </w:rPr>
              <w:t>678.62</w:t>
            </w:r>
          </w:p>
        </w:tc>
        <w:tc>
          <w:tcPr>
            <w:tcW w:w="1464" w:type="dxa"/>
            <w:vAlign w:val="center"/>
          </w:tcPr>
          <w:p>
            <w:pPr>
              <w:pStyle w:val="28"/>
              <w:spacing w:line="360" w:lineRule="auto"/>
              <w:rPr>
                <w:rFonts w:hint="default" w:eastAsia="仿宋"/>
                <w:sz w:val="24"/>
                <w:szCs w:val="24"/>
                <w:lang w:val="en-US" w:eastAsia="zh-CN"/>
              </w:rPr>
            </w:pPr>
            <w:r>
              <w:rPr>
                <w:rFonts w:hint="eastAsia"/>
                <w:sz w:val="24"/>
                <w:szCs w:val="24"/>
                <w:shd w:val="clear" w:color="auto" w:fill="FFFFFF"/>
                <w:lang w:val="en-US" w:eastAsia="zh-CN"/>
              </w:rPr>
              <w:t>4803.83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012" w:type="dxa"/>
            <w:vAlign w:val="center"/>
          </w:tcPr>
          <w:p>
            <w:pPr>
              <w:pStyle w:val="28"/>
              <w:spacing w:line="360" w:lineRule="auto"/>
              <w:jc w:val="left"/>
              <w:rPr>
                <w:sz w:val="24"/>
                <w:szCs w:val="24"/>
              </w:rPr>
            </w:pPr>
            <w:r>
              <w:rPr>
                <w:rFonts w:hint="eastAsia"/>
                <w:sz w:val="24"/>
                <w:szCs w:val="24"/>
              </w:rPr>
              <w:t>二、其他收入</w:t>
            </w:r>
          </w:p>
        </w:tc>
        <w:tc>
          <w:tcPr>
            <w:tcW w:w="1780" w:type="dxa"/>
            <w:vAlign w:val="center"/>
          </w:tcPr>
          <w:p>
            <w:pPr>
              <w:pStyle w:val="28"/>
              <w:spacing w:line="360" w:lineRule="auto"/>
              <w:rPr>
                <w:sz w:val="24"/>
                <w:szCs w:val="24"/>
              </w:rPr>
            </w:pPr>
            <w:r>
              <w:rPr>
                <w:rFonts w:hint="eastAsia"/>
                <w:sz w:val="24"/>
                <w:szCs w:val="24"/>
              </w:rPr>
              <w:t>-</w:t>
            </w:r>
          </w:p>
        </w:tc>
        <w:tc>
          <w:tcPr>
            <w:tcW w:w="1564" w:type="dxa"/>
            <w:vAlign w:val="center"/>
          </w:tcPr>
          <w:p>
            <w:pPr>
              <w:pStyle w:val="28"/>
              <w:spacing w:line="360" w:lineRule="auto"/>
              <w:rPr>
                <w:sz w:val="24"/>
                <w:szCs w:val="24"/>
                <w:lang w:val="en-US"/>
              </w:rPr>
            </w:pPr>
            <w:r>
              <w:rPr>
                <w:rFonts w:hint="eastAsia"/>
                <w:sz w:val="24"/>
                <w:szCs w:val="24"/>
              </w:rPr>
              <w:t>-</w:t>
            </w:r>
          </w:p>
        </w:tc>
        <w:tc>
          <w:tcPr>
            <w:tcW w:w="1464" w:type="dxa"/>
            <w:vAlign w:val="center"/>
          </w:tcPr>
          <w:p>
            <w:pPr>
              <w:pStyle w:val="28"/>
              <w:spacing w:line="360" w:lineRule="auto"/>
              <w:rPr>
                <w:sz w:val="24"/>
                <w:szCs w:val="24"/>
                <w:lang w:val="en-US"/>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012" w:type="dxa"/>
            <w:vAlign w:val="center"/>
          </w:tcPr>
          <w:p>
            <w:pPr>
              <w:pStyle w:val="28"/>
              <w:spacing w:line="360" w:lineRule="auto"/>
              <w:rPr>
                <w:sz w:val="24"/>
                <w:szCs w:val="24"/>
              </w:rPr>
            </w:pPr>
            <w:r>
              <w:rPr>
                <w:rFonts w:hint="eastAsia"/>
                <w:sz w:val="24"/>
                <w:szCs w:val="24"/>
              </w:rPr>
              <w:t>年初结转结余</w:t>
            </w:r>
          </w:p>
        </w:tc>
        <w:tc>
          <w:tcPr>
            <w:tcW w:w="1780" w:type="dxa"/>
            <w:vAlign w:val="center"/>
          </w:tcPr>
          <w:p>
            <w:pPr>
              <w:pStyle w:val="28"/>
              <w:spacing w:line="360" w:lineRule="auto"/>
              <w:rPr>
                <w:sz w:val="24"/>
                <w:szCs w:val="24"/>
                <w:lang w:val="en-US"/>
              </w:rPr>
            </w:pPr>
            <w:r>
              <w:rPr>
                <w:rFonts w:hint="eastAsia"/>
                <w:sz w:val="24"/>
                <w:szCs w:val="24"/>
                <w:lang w:val="en-US"/>
              </w:rPr>
              <w:t>-</w:t>
            </w:r>
          </w:p>
        </w:tc>
        <w:tc>
          <w:tcPr>
            <w:tcW w:w="1564" w:type="dxa"/>
            <w:vAlign w:val="center"/>
          </w:tcPr>
          <w:p>
            <w:pPr>
              <w:pStyle w:val="28"/>
              <w:spacing w:line="360" w:lineRule="auto"/>
              <w:rPr>
                <w:sz w:val="24"/>
                <w:szCs w:val="24"/>
              </w:rPr>
            </w:pPr>
            <w:r>
              <w:rPr>
                <w:rFonts w:hint="eastAsia"/>
                <w:sz w:val="24"/>
                <w:szCs w:val="24"/>
              </w:rPr>
              <w:t>-</w:t>
            </w:r>
          </w:p>
        </w:tc>
        <w:tc>
          <w:tcPr>
            <w:tcW w:w="1464" w:type="dxa"/>
            <w:vAlign w:val="center"/>
          </w:tcPr>
          <w:p>
            <w:pPr>
              <w:pStyle w:val="28"/>
              <w:spacing w:line="360" w:lineRule="auto"/>
              <w:rPr>
                <w:sz w:val="24"/>
                <w:szCs w:val="24"/>
                <w:lang w:val="en-US"/>
              </w:rPr>
            </w:pPr>
            <w:r>
              <w:rPr>
                <w:rFonts w:hint="eastAsia"/>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4012" w:type="dxa"/>
            <w:vAlign w:val="center"/>
          </w:tcPr>
          <w:p>
            <w:pPr>
              <w:pStyle w:val="28"/>
              <w:spacing w:line="360" w:lineRule="auto"/>
              <w:rPr>
                <w:b/>
                <w:bCs w:val="0"/>
                <w:color w:val="FF0000"/>
                <w:sz w:val="24"/>
                <w:szCs w:val="24"/>
              </w:rPr>
            </w:pPr>
            <w:r>
              <w:rPr>
                <w:rFonts w:hint="eastAsia"/>
                <w:b/>
                <w:bCs w:val="0"/>
                <w:sz w:val="24"/>
                <w:szCs w:val="24"/>
              </w:rPr>
              <w:t>总计</w:t>
            </w:r>
          </w:p>
        </w:tc>
        <w:tc>
          <w:tcPr>
            <w:tcW w:w="1780" w:type="dxa"/>
            <w:vAlign w:val="center"/>
          </w:tcPr>
          <w:p>
            <w:pPr>
              <w:pStyle w:val="28"/>
              <w:spacing w:line="360" w:lineRule="auto"/>
              <w:rPr>
                <w:rFonts w:hint="default" w:eastAsia="仿宋"/>
                <w:b/>
                <w:bCs w:val="0"/>
                <w:sz w:val="24"/>
                <w:szCs w:val="24"/>
                <w:lang w:val="en-US" w:eastAsia="zh-CN"/>
              </w:rPr>
            </w:pPr>
            <w:r>
              <w:rPr>
                <w:rFonts w:hint="eastAsia"/>
                <w:sz w:val="24"/>
                <w:szCs w:val="24"/>
                <w:shd w:val="clear" w:color="auto" w:fill="FFFFFF"/>
                <w:lang w:val="en-US" w:eastAsia="zh-CN"/>
              </w:rPr>
              <w:t>4125.21</w:t>
            </w:r>
          </w:p>
        </w:tc>
        <w:tc>
          <w:tcPr>
            <w:tcW w:w="1564" w:type="dxa"/>
            <w:vAlign w:val="center"/>
          </w:tcPr>
          <w:p>
            <w:pPr>
              <w:pStyle w:val="28"/>
              <w:spacing w:line="360" w:lineRule="auto"/>
              <w:rPr>
                <w:rFonts w:hint="default" w:eastAsia="仿宋"/>
                <w:b/>
                <w:bCs w:val="0"/>
                <w:sz w:val="24"/>
                <w:szCs w:val="24"/>
                <w:lang w:val="en-US" w:eastAsia="zh-CN"/>
              </w:rPr>
            </w:pPr>
            <w:r>
              <w:rPr>
                <w:rFonts w:hint="eastAsia"/>
                <w:sz w:val="24"/>
                <w:szCs w:val="24"/>
                <w:shd w:val="clear" w:color="auto" w:fill="FFFFFF"/>
                <w:lang w:val="en-US" w:eastAsia="zh-CN"/>
              </w:rPr>
              <w:t>678.62</w:t>
            </w:r>
          </w:p>
        </w:tc>
        <w:tc>
          <w:tcPr>
            <w:tcW w:w="1464" w:type="dxa"/>
            <w:vAlign w:val="center"/>
          </w:tcPr>
          <w:p>
            <w:pPr>
              <w:pStyle w:val="28"/>
              <w:spacing w:line="360" w:lineRule="auto"/>
              <w:rPr>
                <w:rFonts w:hint="default" w:eastAsia="仿宋"/>
                <w:b/>
                <w:bCs w:val="0"/>
                <w:sz w:val="24"/>
                <w:szCs w:val="24"/>
                <w:lang w:val="en-US" w:eastAsia="zh-CN"/>
              </w:rPr>
            </w:pPr>
            <w:r>
              <w:rPr>
                <w:rFonts w:hint="eastAsia"/>
                <w:sz w:val="24"/>
                <w:szCs w:val="24"/>
                <w:shd w:val="clear" w:color="auto" w:fill="FFFFFF"/>
                <w:lang w:val="en-US" w:eastAsia="zh-CN"/>
              </w:rPr>
              <w:t>4803.83</w:t>
            </w:r>
          </w:p>
        </w:tc>
      </w:tr>
    </w:tbl>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outlineLvl w:val="9"/>
        <w:rPr>
          <w:color w:val="000000"/>
          <w:kern w:val="0"/>
          <w:szCs w:val="32"/>
          <w:shd w:val="clear" w:color="auto" w:fill="FFFFFF"/>
          <w:lang w:val="zh-CN"/>
        </w:rPr>
      </w:pPr>
      <w:r>
        <w:rPr>
          <w:rFonts w:hint="eastAsia" w:ascii="楷体_GB2312" w:hAnsi="宋体" w:eastAsia="楷体_GB2312" w:cs="宋体"/>
          <w:b/>
          <w:color w:val="000000"/>
          <w:kern w:val="0"/>
          <w:szCs w:val="32"/>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color w:val="000000"/>
          <w:kern w:val="0"/>
          <w:szCs w:val="32"/>
          <w:shd w:val="clear" w:color="auto" w:fill="FFFFFF"/>
          <w:lang w:val="zh-CN"/>
        </w:rPr>
      </w:pPr>
      <w:r>
        <w:rPr>
          <w:rFonts w:ascii="仿宋" w:hAnsi="仿宋" w:eastAsia="仿宋"/>
          <w:color w:val="000000"/>
          <w:szCs w:val="32"/>
        </w:rPr>
        <w:t>20</w:t>
      </w:r>
      <w:r>
        <w:rPr>
          <w:rFonts w:hint="eastAsia" w:ascii="仿宋" w:hAnsi="仿宋" w:eastAsia="仿宋"/>
          <w:color w:val="000000"/>
          <w:szCs w:val="32"/>
        </w:rPr>
        <w:t>24年一般公共预算财政拨款支出</w:t>
      </w:r>
      <w:r>
        <w:rPr>
          <w:rFonts w:hint="eastAsia" w:ascii="仿宋" w:hAnsi="仿宋" w:eastAsia="仿宋"/>
          <w:color w:val="000000"/>
          <w:szCs w:val="32"/>
          <w:lang w:val="en-US" w:eastAsia="zh-CN"/>
        </w:rPr>
        <w:t>4803.83</w:t>
      </w:r>
      <w:r>
        <w:rPr>
          <w:rFonts w:hint="eastAsia" w:ascii="仿宋" w:hAnsi="仿宋" w:eastAsia="仿宋"/>
          <w:color w:val="000000"/>
          <w:szCs w:val="32"/>
        </w:rPr>
        <w:t>万元，主要用于以下方面</w:t>
      </w:r>
      <w:r>
        <w:rPr>
          <w:rFonts w:ascii="仿宋" w:hAnsi="仿宋" w:eastAsia="仿宋"/>
          <w:color w:val="000000"/>
          <w:szCs w:val="32"/>
        </w:rPr>
        <w:t>:</w:t>
      </w:r>
      <w:r>
        <w:rPr>
          <w:rFonts w:hint="eastAsia" w:ascii="仿宋" w:hAnsi="仿宋" w:eastAsia="仿宋"/>
          <w:bCs/>
          <w:color w:val="000000"/>
          <w:szCs w:val="32"/>
          <w:lang w:val="en-US" w:eastAsia="zh-CN"/>
        </w:rPr>
        <w:t>一般公共服务</w:t>
      </w:r>
      <w:r>
        <w:rPr>
          <w:rFonts w:hint="eastAsia" w:ascii="仿宋" w:hAnsi="仿宋" w:eastAsia="仿宋"/>
          <w:bCs/>
          <w:color w:val="000000"/>
          <w:szCs w:val="32"/>
        </w:rPr>
        <w:t>（类）支出</w:t>
      </w:r>
      <w:r>
        <w:rPr>
          <w:rFonts w:hint="eastAsia" w:ascii="仿宋" w:hAnsi="仿宋" w:eastAsia="仿宋"/>
          <w:bCs/>
          <w:color w:val="000000"/>
          <w:szCs w:val="32"/>
          <w:lang w:val="en-US" w:eastAsia="zh-CN"/>
        </w:rPr>
        <w:t>4114.72</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85.65</w:t>
      </w:r>
      <w:r>
        <w:rPr>
          <w:rFonts w:hint="eastAsia" w:ascii="仿宋" w:hAnsi="仿宋" w:eastAsia="仿宋"/>
          <w:bCs/>
          <w:color w:val="000000"/>
          <w:szCs w:val="32"/>
        </w:rPr>
        <w:t>%；社会保障和就业（类）支出</w:t>
      </w:r>
      <w:r>
        <w:rPr>
          <w:rFonts w:hint="eastAsia" w:ascii="仿宋" w:hAnsi="仿宋" w:eastAsia="仿宋"/>
          <w:bCs/>
          <w:color w:val="000000"/>
          <w:szCs w:val="32"/>
          <w:lang w:val="en-US" w:eastAsia="zh-CN"/>
        </w:rPr>
        <w:t>314.18</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6.54</w:t>
      </w:r>
      <w:r>
        <w:rPr>
          <w:rFonts w:ascii="仿宋" w:hAnsi="仿宋" w:eastAsia="仿宋"/>
          <w:bCs/>
          <w:color w:val="000000"/>
          <w:szCs w:val="32"/>
        </w:rPr>
        <w:t>%</w:t>
      </w:r>
      <w:r>
        <w:rPr>
          <w:rFonts w:hint="eastAsia" w:ascii="仿宋" w:hAnsi="仿宋" w:eastAsia="仿宋"/>
          <w:bCs/>
          <w:color w:val="000000"/>
          <w:szCs w:val="32"/>
        </w:rPr>
        <w:t>；卫生健康（类）支出</w:t>
      </w:r>
      <w:r>
        <w:rPr>
          <w:rFonts w:hint="eastAsia" w:ascii="仿宋" w:hAnsi="仿宋" w:eastAsia="仿宋"/>
          <w:bCs/>
          <w:color w:val="000000"/>
          <w:szCs w:val="32"/>
          <w:lang w:val="en-US" w:eastAsia="zh-CN"/>
        </w:rPr>
        <w:t>121.99</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5.54</w:t>
      </w:r>
      <w:r>
        <w:rPr>
          <w:rFonts w:ascii="仿宋" w:hAnsi="仿宋" w:eastAsia="仿宋"/>
          <w:bCs/>
          <w:color w:val="000000"/>
          <w:szCs w:val="32"/>
        </w:rPr>
        <w:t>%</w:t>
      </w:r>
      <w:r>
        <w:rPr>
          <w:rFonts w:hint="eastAsia" w:ascii="仿宋" w:hAnsi="仿宋" w:eastAsia="仿宋"/>
          <w:bCs/>
          <w:color w:val="000000"/>
          <w:szCs w:val="32"/>
        </w:rPr>
        <w:t>；住房保障（类）支出</w:t>
      </w:r>
      <w:r>
        <w:rPr>
          <w:rFonts w:hint="eastAsia" w:ascii="仿宋" w:hAnsi="仿宋" w:eastAsia="仿宋"/>
          <w:bCs/>
          <w:color w:val="000000"/>
          <w:szCs w:val="32"/>
          <w:lang w:val="en-US" w:eastAsia="zh-CN"/>
        </w:rPr>
        <w:t>252.94</w:t>
      </w:r>
      <w:r>
        <w:rPr>
          <w:rFonts w:hint="eastAsia" w:ascii="仿宋" w:hAnsi="仿宋" w:eastAsia="仿宋"/>
          <w:bCs/>
          <w:color w:val="000000"/>
          <w:szCs w:val="32"/>
        </w:rPr>
        <w:t>万元，占</w:t>
      </w:r>
      <w:r>
        <w:rPr>
          <w:rFonts w:hint="eastAsia" w:ascii="仿宋" w:hAnsi="仿宋" w:eastAsia="仿宋"/>
          <w:bCs/>
          <w:color w:val="000000"/>
          <w:szCs w:val="32"/>
          <w:lang w:val="en-US" w:eastAsia="zh-CN"/>
        </w:rPr>
        <w:t>2.27</w:t>
      </w:r>
      <w:r>
        <w:rPr>
          <w:rFonts w:ascii="仿宋" w:hAnsi="仿宋" w:eastAsia="仿宋"/>
          <w:bCs/>
          <w:color w:val="000000"/>
          <w:szCs w:val="32"/>
        </w:rPr>
        <w:t>%</w:t>
      </w:r>
      <w:r>
        <w:rPr>
          <w:rFonts w:hint="eastAsia" w:ascii="仿宋" w:hAnsi="仿宋" w:eastAsia="仿宋"/>
          <w:bCs/>
          <w:color w:val="000000"/>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ascii="仿宋_GB2312" w:hAnsi="仿宋" w:cs="仿宋"/>
          <w:szCs w:val="32"/>
        </w:rPr>
      </w:pPr>
      <w:r>
        <w:rPr>
          <w:rFonts w:hint="eastAsia" w:ascii="仿宋" w:hAnsi="仿宋" w:eastAsia="仿宋"/>
          <w:color w:val="000000"/>
          <w:szCs w:val="32"/>
          <w:lang w:val="zh-CN"/>
        </w:rPr>
        <w:t>202</w:t>
      </w:r>
      <w:r>
        <w:rPr>
          <w:rFonts w:hint="eastAsia" w:ascii="仿宋" w:hAnsi="仿宋" w:eastAsia="仿宋"/>
          <w:color w:val="000000"/>
          <w:szCs w:val="32"/>
        </w:rPr>
        <w:t>4</w:t>
      </w:r>
      <w:r>
        <w:rPr>
          <w:rFonts w:hint="eastAsia" w:ascii="仿宋" w:hAnsi="仿宋" w:eastAsia="仿宋"/>
          <w:color w:val="000000"/>
          <w:szCs w:val="32"/>
          <w:lang w:val="zh-CN"/>
        </w:rPr>
        <w:t>年度，</w:t>
      </w:r>
      <w:r>
        <w:rPr>
          <w:rFonts w:hint="eastAsia" w:ascii="仿宋" w:hAnsi="仿宋" w:eastAsia="仿宋"/>
          <w:color w:val="000000"/>
          <w:szCs w:val="32"/>
          <w:lang w:val="en-US" w:eastAsia="zh-CN"/>
        </w:rPr>
        <w:t>市纪委</w:t>
      </w:r>
      <w:r>
        <w:rPr>
          <w:rFonts w:hint="eastAsia" w:ascii="仿宋" w:hAnsi="仿宋" w:eastAsia="仿宋"/>
          <w:color w:val="000000"/>
          <w:szCs w:val="32"/>
          <w:lang w:val="zh-CN"/>
        </w:rPr>
        <w:t>支出年初预算为</w:t>
      </w:r>
      <w:r>
        <w:rPr>
          <w:rFonts w:hint="eastAsia" w:ascii="仿宋" w:hAnsi="仿宋" w:eastAsia="仿宋"/>
          <w:color w:val="000000"/>
          <w:szCs w:val="32"/>
          <w:lang w:val="en-US" w:eastAsia="zh-CN"/>
        </w:rPr>
        <w:t>4125.21</w:t>
      </w:r>
      <w:r>
        <w:rPr>
          <w:rFonts w:hint="eastAsia" w:ascii="仿宋" w:hAnsi="仿宋" w:eastAsia="仿宋"/>
          <w:color w:val="000000"/>
          <w:szCs w:val="32"/>
          <w:lang w:val="zh-CN"/>
        </w:rPr>
        <w:t>万元，中期调整</w:t>
      </w:r>
      <w:r>
        <w:rPr>
          <w:rFonts w:hint="eastAsia" w:ascii="仿宋" w:hAnsi="仿宋" w:eastAsia="仿宋"/>
          <w:color w:val="000000"/>
          <w:szCs w:val="32"/>
        </w:rPr>
        <w:t>金额</w:t>
      </w:r>
      <w:r>
        <w:rPr>
          <w:rFonts w:hint="eastAsia" w:ascii="仿宋" w:hAnsi="仿宋" w:eastAsia="仿宋"/>
          <w:color w:val="000000"/>
          <w:szCs w:val="32"/>
          <w:lang w:val="en-US" w:eastAsia="zh-CN"/>
        </w:rPr>
        <w:t>678.62</w:t>
      </w:r>
      <w:r>
        <w:rPr>
          <w:rFonts w:hint="eastAsia" w:ascii="仿宋" w:hAnsi="仿宋" w:eastAsia="仿宋"/>
          <w:color w:val="000000"/>
          <w:szCs w:val="32"/>
          <w:lang w:val="zh-CN"/>
        </w:rPr>
        <w:t>万元，调整后预算支出总额为</w:t>
      </w:r>
      <w:r>
        <w:rPr>
          <w:rFonts w:hint="eastAsia" w:ascii="仿宋" w:hAnsi="仿宋" w:eastAsia="仿宋"/>
          <w:color w:val="000000"/>
          <w:szCs w:val="32"/>
          <w:lang w:val="en-US" w:eastAsia="zh-CN"/>
        </w:rPr>
        <w:t>4803.83</w:t>
      </w:r>
      <w:r>
        <w:rPr>
          <w:rFonts w:hint="eastAsia" w:ascii="仿宋" w:hAnsi="仿宋" w:eastAsia="仿宋"/>
          <w:color w:val="000000"/>
          <w:szCs w:val="32"/>
          <w:lang w:val="zh-CN"/>
        </w:rPr>
        <w:t>万元，部门支出预算执行总额为</w:t>
      </w:r>
      <w:r>
        <w:rPr>
          <w:rFonts w:hint="eastAsia" w:ascii="仿宋" w:hAnsi="仿宋" w:eastAsia="仿宋"/>
          <w:color w:val="000000"/>
          <w:szCs w:val="32"/>
          <w:lang w:val="en-US" w:eastAsia="zh-CN"/>
        </w:rPr>
        <w:t>4803.83</w:t>
      </w:r>
      <w:r>
        <w:rPr>
          <w:rFonts w:hint="eastAsia" w:ascii="仿宋" w:hAnsi="仿宋" w:eastAsia="仿宋"/>
          <w:color w:val="000000"/>
          <w:szCs w:val="32"/>
          <w:lang w:val="zh-CN"/>
        </w:rPr>
        <w:t>万元，部门总体执行进度为</w:t>
      </w:r>
      <w:r>
        <w:rPr>
          <w:rFonts w:hint="eastAsia" w:ascii="仿宋" w:hAnsi="仿宋" w:eastAsia="仿宋"/>
          <w:color w:val="000000"/>
          <w:szCs w:val="32"/>
        </w:rPr>
        <w:t>100.00</w:t>
      </w:r>
      <w:r>
        <w:rPr>
          <w:rFonts w:hint="eastAsia" w:ascii="仿宋" w:hAnsi="仿宋" w:eastAsia="仿宋"/>
          <w:color w:val="000000"/>
          <w:szCs w:val="32"/>
          <w:lang w:val="zh-CN"/>
        </w:rPr>
        <w:t>%，其中：基本支出预算总额为</w:t>
      </w:r>
      <w:r>
        <w:rPr>
          <w:rFonts w:hint="eastAsia" w:ascii="仿宋" w:hAnsi="仿宋" w:eastAsia="仿宋"/>
          <w:color w:val="000000"/>
          <w:szCs w:val="32"/>
          <w:lang w:val="en-US" w:eastAsia="zh-CN"/>
        </w:rPr>
        <w:t>3799.41</w:t>
      </w:r>
      <w:r>
        <w:rPr>
          <w:rFonts w:hint="eastAsia" w:ascii="仿宋" w:hAnsi="仿宋" w:eastAsia="仿宋"/>
          <w:color w:val="000000"/>
          <w:szCs w:val="32"/>
          <w:lang w:val="zh-CN"/>
        </w:rPr>
        <w:t>万元，基本支出执行总额为</w:t>
      </w:r>
      <w:r>
        <w:rPr>
          <w:rFonts w:hint="eastAsia" w:ascii="仿宋" w:hAnsi="仿宋" w:eastAsia="仿宋"/>
          <w:color w:val="000000"/>
          <w:szCs w:val="32"/>
          <w:lang w:val="en-US" w:eastAsia="zh-CN"/>
        </w:rPr>
        <w:t>3799.41</w:t>
      </w:r>
      <w:r>
        <w:rPr>
          <w:rFonts w:hint="eastAsia" w:ascii="仿宋" w:hAnsi="仿宋" w:eastAsia="仿宋"/>
          <w:color w:val="000000"/>
          <w:szCs w:val="32"/>
          <w:lang w:val="zh-CN"/>
        </w:rPr>
        <w:t>万元，基本支出总体执行进度</w:t>
      </w:r>
      <w:r>
        <w:rPr>
          <w:rFonts w:hint="eastAsia" w:ascii="仿宋" w:hAnsi="仿宋" w:eastAsia="仿宋"/>
          <w:color w:val="000000"/>
          <w:szCs w:val="32"/>
        </w:rPr>
        <w:t>100.00</w:t>
      </w:r>
      <w:r>
        <w:rPr>
          <w:rFonts w:hint="eastAsia" w:ascii="仿宋" w:hAnsi="仿宋" w:eastAsia="仿宋"/>
          <w:color w:val="000000"/>
          <w:szCs w:val="32"/>
          <w:lang w:val="zh-CN"/>
        </w:rPr>
        <w:t>%；项目支出预算总额为</w:t>
      </w:r>
      <w:r>
        <w:rPr>
          <w:rFonts w:hint="eastAsia" w:ascii="仿宋" w:hAnsi="仿宋" w:eastAsia="仿宋"/>
          <w:color w:val="000000"/>
          <w:szCs w:val="32"/>
          <w:lang w:val="en-US" w:eastAsia="zh-CN"/>
        </w:rPr>
        <w:t>1004.42</w:t>
      </w:r>
      <w:r>
        <w:rPr>
          <w:rFonts w:hint="eastAsia" w:ascii="仿宋" w:hAnsi="仿宋" w:eastAsia="仿宋"/>
          <w:color w:val="000000"/>
          <w:szCs w:val="32"/>
          <w:lang w:val="zh-CN"/>
        </w:rPr>
        <w:t>万元，项目支出执行总额为</w:t>
      </w:r>
      <w:r>
        <w:rPr>
          <w:rFonts w:hint="eastAsia" w:ascii="仿宋" w:hAnsi="仿宋" w:eastAsia="仿宋"/>
          <w:color w:val="000000"/>
          <w:szCs w:val="32"/>
          <w:lang w:val="en-US" w:eastAsia="zh-CN"/>
        </w:rPr>
        <w:t>1004.42</w:t>
      </w:r>
      <w:r>
        <w:rPr>
          <w:rFonts w:hint="eastAsia" w:ascii="仿宋" w:hAnsi="仿宋" w:eastAsia="仿宋"/>
          <w:color w:val="000000"/>
          <w:szCs w:val="32"/>
          <w:lang w:val="zh-CN"/>
        </w:rPr>
        <w:t>万元，项目支出总体执行进度100</w:t>
      </w:r>
      <w:r>
        <w:rPr>
          <w:rFonts w:hint="eastAsia" w:ascii="仿宋" w:hAnsi="仿宋" w:eastAsia="仿宋"/>
          <w:color w:val="000000"/>
          <w:szCs w:val="32"/>
        </w:rPr>
        <w:t>.00</w:t>
      </w:r>
      <w:r>
        <w:rPr>
          <w:rFonts w:hint="eastAsia" w:ascii="仿宋" w:hAnsi="仿宋" w:eastAsia="仿宋"/>
          <w:color w:val="000000"/>
          <w:szCs w:val="32"/>
          <w:lang w:val="zh-CN"/>
        </w:rPr>
        <w:t>%。</w:t>
      </w:r>
    </w:p>
    <w:tbl>
      <w:tblPr>
        <w:tblStyle w:val="16"/>
        <w:tblpPr w:leftFromText="180" w:rightFromText="180" w:vertAnchor="text" w:horzAnchor="page" w:tblpX="1790" w:tblpY="291"/>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259"/>
        <w:gridCol w:w="1553"/>
        <w:gridCol w:w="1472"/>
        <w:gridCol w:w="1513"/>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项目名称</w:t>
            </w:r>
          </w:p>
        </w:tc>
        <w:tc>
          <w:tcPr>
            <w:tcW w:w="1259"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年</w:t>
            </w:r>
            <w:r>
              <w:rPr>
                <w:rFonts w:hint="eastAsia" w:ascii="仿宋" w:hAnsi="仿宋" w:cs="仿宋"/>
                <w:b/>
                <w:bCs w:val="0"/>
                <w:lang w:val="en-US"/>
              </w:rPr>
              <w:t>初</w:t>
            </w:r>
            <w:r>
              <w:rPr>
                <w:rFonts w:hint="eastAsia" w:ascii="仿宋" w:hAnsi="仿宋" w:cs="仿宋"/>
                <w:b/>
                <w:bCs w:val="0"/>
              </w:rPr>
              <w:t>预算</w:t>
            </w:r>
          </w:p>
        </w:tc>
        <w:tc>
          <w:tcPr>
            <w:tcW w:w="1553"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中期调整</w:t>
            </w:r>
          </w:p>
        </w:tc>
        <w:tc>
          <w:tcPr>
            <w:tcW w:w="1472" w:type="dxa"/>
            <w:tcBorders>
              <w:bottom w:val="single" w:color="auto" w:sz="4" w:space="0"/>
            </w:tcBorders>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年</w:t>
            </w:r>
            <w:r>
              <w:rPr>
                <w:rFonts w:hint="eastAsia" w:ascii="仿宋" w:hAnsi="仿宋" w:cs="仿宋"/>
                <w:b/>
                <w:bCs w:val="0"/>
                <w:lang w:val="en-US"/>
              </w:rPr>
              <w:t>度</w:t>
            </w:r>
            <w:r>
              <w:rPr>
                <w:rFonts w:hint="eastAsia" w:ascii="仿宋" w:hAnsi="仿宋" w:cs="仿宋"/>
                <w:b/>
                <w:bCs w:val="0"/>
              </w:rPr>
              <w:t>总预算</w:t>
            </w:r>
          </w:p>
        </w:tc>
        <w:tc>
          <w:tcPr>
            <w:tcW w:w="1513" w:type="dxa"/>
            <w:tcBorders>
              <w:bottom w:val="single" w:color="auto" w:sz="4" w:space="0"/>
            </w:tcBorders>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预算执行</w:t>
            </w:r>
          </w:p>
        </w:tc>
        <w:tc>
          <w:tcPr>
            <w:tcW w:w="1506"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b/>
                <w:bCs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rPr>
              <w:t>一、基本支出</w:t>
            </w:r>
          </w:p>
        </w:tc>
        <w:tc>
          <w:tcPr>
            <w:tcW w:w="125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3468.22</w:t>
            </w:r>
          </w:p>
        </w:tc>
        <w:tc>
          <w:tcPr>
            <w:tcW w:w="155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331.19</w:t>
            </w:r>
          </w:p>
        </w:tc>
        <w:tc>
          <w:tcPr>
            <w:tcW w:w="14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3799.41</w:t>
            </w:r>
          </w:p>
        </w:tc>
        <w:tc>
          <w:tcPr>
            <w:tcW w:w="1513"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lang w:val="en-US" w:eastAsia="zh-CN"/>
              </w:rPr>
              <w:t>3799.41</w:t>
            </w:r>
          </w:p>
        </w:tc>
        <w:tc>
          <w:tcPr>
            <w:tcW w:w="15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rPr>
              <w:t>人员经费</w:t>
            </w:r>
          </w:p>
        </w:tc>
        <w:tc>
          <w:tcPr>
            <w:tcW w:w="125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2553.71</w:t>
            </w:r>
          </w:p>
        </w:tc>
        <w:tc>
          <w:tcPr>
            <w:tcW w:w="155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400.54</w:t>
            </w:r>
          </w:p>
        </w:tc>
        <w:tc>
          <w:tcPr>
            <w:tcW w:w="14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2954.25</w:t>
            </w:r>
          </w:p>
        </w:tc>
        <w:tc>
          <w:tcPr>
            <w:tcW w:w="1513"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lang w:val="en-US" w:eastAsia="zh-CN"/>
              </w:rPr>
              <w:t>2954.25</w:t>
            </w:r>
          </w:p>
        </w:tc>
        <w:tc>
          <w:tcPr>
            <w:tcW w:w="15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rPr>
              <w:t>公用经费</w:t>
            </w:r>
          </w:p>
        </w:tc>
        <w:tc>
          <w:tcPr>
            <w:tcW w:w="125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914.51</w:t>
            </w:r>
          </w:p>
        </w:tc>
        <w:tc>
          <w:tcPr>
            <w:tcW w:w="155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-69.35</w:t>
            </w:r>
          </w:p>
        </w:tc>
        <w:tc>
          <w:tcPr>
            <w:tcW w:w="14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845.16</w:t>
            </w:r>
          </w:p>
        </w:tc>
        <w:tc>
          <w:tcPr>
            <w:tcW w:w="1513"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lang w:val="en-US" w:eastAsia="zh-CN"/>
              </w:rPr>
              <w:t>845.16</w:t>
            </w:r>
          </w:p>
        </w:tc>
        <w:tc>
          <w:tcPr>
            <w:tcW w:w="15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rPr>
              <w:t>二、项目支出</w:t>
            </w:r>
          </w:p>
        </w:tc>
        <w:tc>
          <w:tcPr>
            <w:tcW w:w="125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656.99</w:t>
            </w:r>
          </w:p>
        </w:tc>
        <w:tc>
          <w:tcPr>
            <w:tcW w:w="155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347.43</w:t>
            </w:r>
          </w:p>
        </w:tc>
        <w:tc>
          <w:tcPr>
            <w:tcW w:w="14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lang w:val="en-US" w:eastAsia="zh-CN"/>
              </w:rPr>
            </w:pPr>
            <w:r>
              <w:rPr>
                <w:rFonts w:hint="eastAsia" w:ascii="仿宋" w:hAnsi="仿宋" w:eastAsia="仿宋" w:cs="仿宋"/>
                <w:color w:val="000000"/>
                <w:kern w:val="0"/>
                <w:sz w:val="22"/>
                <w:szCs w:val="22"/>
                <w:lang w:val="en-US" w:eastAsia="zh-CN"/>
              </w:rPr>
              <w:t>1004.42</w:t>
            </w:r>
          </w:p>
        </w:tc>
        <w:tc>
          <w:tcPr>
            <w:tcW w:w="1513"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rPr>
            </w:pPr>
            <w:r>
              <w:rPr>
                <w:rFonts w:hint="eastAsia" w:ascii="仿宋" w:hAnsi="仿宋" w:eastAsia="仿宋" w:cs="仿宋"/>
                <w:color w:val="000000"/>
                <w:kern w:val="0"/>
                <w:sz w:val="22"/>
                <w:szCs w:val="22"/>
                <w:lang w:val="en-US" w:eastAsia="zh-CN"/>
              </w:rPr>
              <w:t>1004.42</w:t>
            </w:r>
          </w:p>
        </w:tc>
        <w:tc>
          <w:tcPr>
            <w:tcW w:w="15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color w:val="000000"/>
                <w:kern w:val="0"/>
                <w:sz w:val="22"/>
                <w:szCs w:val="22"/>
              </w:rPr>
            </w:pPr>
            <w:r>
              <w:rPr>
                <w:rFonts w:hint="eastAsia" w:ascii="仿宋" w:hAnsi="仿宋" w:eastAsia="仿宋" w:cs="仿宋"/>
                <w:color w:val="000000"/>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b/>
                <w:bCs w:val="0"/>
              </w:rPr>
              <w:t>总计</w:t>
            </w:r>
          </w:p>
        </w:tc>
        <w:tc>
          <w:tcPr>
            <w:tcW w:w="1259"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hint="default" w:ascii="仿宋" w:hAnsi="仿宋" w:eastAsia="仿宋" w:cs="仿宋"/>
                <w:lang w:val="en-US" w:eastAsia="zh-CN"/>
              </w:rPr>
            </w:pPr>
            <w:r>
              <w:rPr>
                <w:rFonts w:hint="eastAsia" w:ascii="仿宋" w:hAnsi="仿宋" w:cs="仿宋"/>
                <w:b/>
                <w:bCs w:val="0"/>
                <w:szCs w:val="32"/>
                <w:shd w:val="clear" w:color="auto" w:fill="FFFFFF"/>
                <w:lang w:val="en-US" w:eastAsia="zh-CN"/>
              </w:rPr>
              <w:t>4125.21</w:t>
            </w:r>
          </w:p>
        </w:tc>
        <w:tc>
          <w:tcPr>
            <w:tcW w:w="1553" w:type="dxa"/>
            <w:tcBorders>
              <w:top w:val="nil"/>
              <w:left w:val="nil"/>
              <w:bottom w:val="single" w:color="auto" w:sz="4" w:space="0"/>
              <w:right w:val="single" w:color="auto" w:sz="8" w:space="0"/>
            </w:tcBorders>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hint="default" w:ascii="仿宋" w:hAnsi="仿宋" w:eastAsia="仿宋" w:cs="仿宋"/>
                <w:b/>
                <w:bCs w:val="0"/>
                <w:lang w:val="en-US" w:eastAsia="zh-CN"/>
              </w:rPr>
            </w:pPr>
            <w:r>
              <w:rPr>
                <w:rFonts w:hint="eastAsia" w:ascii="仿宋" w:hAnsi="仿宋" w:cs="仿宋"/>
                <w:b/>
                <w:bCs w:val="0"/>
                <w:szCs w:val="32"/>
                <w:shd w:val="clear" w:color="auto" w:fill="FFFFFF"/>
                <w:lang w:val="en-US" w:eastAsia="zh-CN"/>
              </w:rPr>
              <w:t>678.62</w:t>
            </w:r>
          </w:p>
        </w:tc>
        <w:tc>
          <w:tcPr>
            <w:tcW w:w="1472" w:type="dxa"/>
            <w:tcBorders>
              <w:top w:val="single" w:color="auto" w:sz="4" w:space="0"/>
              <w:left w:val="nil"/>
              <w:bottom w:val="single" w:color="auto" w:sz="4" w:space="0"/>
              <w:right w:val="single" w:color="auto" w:sz="4" w:space="0"/>
            </w:tcBorders>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hint="default" w:ascii="仿宋" w:hAnsi="仿宋" w:eastAsia="仿宋" w:cs="仿宋"/>
                <w:b/>
                <w:szCs w:val="22"/>
                <w:lang w:val="en-US" w:eastAsia="zh-CN"/>
              </w:rPr>
            </w:pPr>
            <w:r>
              <w:rPr>
                <w:rFonts w:hint="eastAsia" w:ascii="仿宋" w:hAnsi="仿宋" w:cs="仿宋"/>
                <w:b/>
                <w:bCs w:val="0"/>
                <w:szCs w:val="32"/>
                <w:shd w:val="clear" w:color="auto" w:fill="FFFFFF"/>
                <w:lang w:val="en-US" w:eastAsia="zh-CN"/>
              </w:rPr>
              <w:t>4803.83</w:t>
            </w:r>
          </w:p>
        </w:tc>
        <w:tc>
          <w:tcPr>
            <w:tcW w:w="1513" w:type="dxa"/>
            <w:tcBorders>
              <w:top w:val="single" w:color="auto" w:sz="4" w:space="0"/>
              <w:left w:val="single" w:color="auto" w:sz="4" w:space="0"/>
              <w:bottom w:val="single" w:color="auto" w:sz="4" w:space="0"/>
              <w:right w:val="nil"/>
            </w:tcBorders>
            <w:vAlign w:val="center"/>
          </w:tcPr>
          <w:p>
            <w:pPr>
              <w:pStyle w:val="28"/>
              <w:keepNext w:val="0"/>
              <w:keepLines w:val="0"/>
              <w:pageBreakBefore w:val="0"/>
              <w:kinsoku/>
              <w:wordWrap/>
              <w:overflowPunct/>
              <w:topLinePunct w:val="0"/>
              <w:autoSpaceDE/>
              <w:autoSpaceDN/>
              <w:bidi w:val="0"/>
              <w:adjustRightInd/>
              <w:snapToGrid/>
              <w:spacing w:line="320" w:lineRule="exact"/>
              <w:ind w:firstLine="0" w:firstLineChars="0"/>
              <w:textAlignment w:val="auto"/>
              <w:outlineLvl w:val="9"/>
              <w:rPr>
                <w:rFonts w:ascii="仿宋" w:hAnsi="仿宋" w:cs="仿宋"/>
                <w:b/>
                <w:bCs w:val="0"/>
              </w:rPr>
            </w:pPr>
            <w:r>
              <w:rPr>
                <w:rFonts w:hint="eastAsia" w:ascii="仿宋" w:hAnsi="仿宋" w:cs="仿宋"/>
                <w:b/>
                <w:bCs w:val="0"/>
                <w:szCs w:val="32"/>
                <w:shd w:val="clear" w:color="auto" w:fill="FFFFFF"/>
                <w:lang w:val="en-US" w:eastAsia="zh-CN"/>
              </w:rPr>
              <w:t>4803.83</w:t>
            </w:r>
          </w:p>
        </w:tc>
        <w:tc>
          <w:tcPr>
            <w:tcW w:w="1506"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rPr>
            </w:pPr>
            <w:r>
              <w:rPr>
                <w:rFonts w:hint="eastAsia" w:ascii="仿宋" w:hAnsi="仿宋" w:cs="仿宋"/>
                <w:b/>
                <w:bCs w:val="0"/>
                <w:szCs w:val="22"/>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737"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rPr>
            </w:pPr>
            <w:r>
              <w:rPr>
                <w:rFonts w:hint="eastAsia" w:ascii="仿宋" w:hAnsi="仿宋" w:cs="仿宋"/>
              </w:rPr>
              <w:t>年末结转结余</w:t>
            </w:r>
          </w:p>
        </w:tc>
        <w:tc>
          <w:tcPr>
            <w:tcW w:w="1259"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lang w:val="en-US"/>
              </w:rPr>
            </w:pPr>
            <w:r>
              <w:rPr>
                <w:rFonts w:hint="eastAsia" w:ascii="仿宋" w:hAnsi="仿宋" w:cs="仿宋"/>
                <w:b/>
                <w:bCs w:val="0"/>
                <w:lang w:val="en-US"/>
              </w:rPr>
              <w:t>-</w:t>
            </w:r>
          </w:p>
        </w:tc>
        <w:tc>
          <w:tcPr>
            <w:tcW w:w="1553"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lang w:val="en-US"/>
              </w:rPr>
            </w:pPr>
            <w:r>
              <w:rPr>
                <w:rFonts w:hint="eastAsia" w:ascii="仿宋" w:hAnsi="仿宋" w:cs="仿宋"/>
                <w:b/>
                <w:bCs w:val="0"/>
                <w:lang w:val="en-US"/>
              </w:rPr>
              <w:t>-</w:t>
            </w:r>
          </w:p>
        </w:tc>
        <w:tc>
          <w:tcPr>
            <w:tcW w:w="1472" w:type="dxa"/>
            <w:tcBorders>
              <w:top w:val="single" w:color="auto" w:sz="4" w:space="0"/>
            </w:tcBorders>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lang w:val="en-US"/>
              </w:rPr>
            </w:pPr>
            <w:r>
              <w:rPr>
                <w:rFonts w:hint="eastAsia" w:ascii="仿宋" w:hAnsi="仿宋" w:cs="仿宋"/>
                <w:b/>
                <w:bCs w:val="0"/>
                <w:lang w:val="en-US"/>
              </w:rPr>
              <w:t>-</w:t>
            </w:r>
          </w:p>
        </w:tc>
        <w:tc>
          <w:tcPr>
            <w:tcW w:w="1513"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 w:hAnsi="仿宋" w:eastAsia="仿宋" w:cs="仿宋"/>
                <w:color w:val="000000"/>
                <w:kern w:val="0"/>
                <w:sz w:val="22"/>
                <w:szCs w:val="22"/>
              </w:rPr>
            </w:pPr>
            <w:r>
              <w:rPr>
                <w:rFonts w:hint="eastAsia" w:ascii="仿宋" w:hAnsi="仿宋" w:eastAsia="仿宋" w:cs="仿宋"/>
                <w:color w:val="000000"/>
                <w:kern w:val="0"/>
                <w:sz w:val="22"/>
                <w:szCs w:val="22"/>
              </w:rPr>
              <w:t>-</w:t>
            </w:r>
          </w:p>
        </w:tc>
        <w:tc>
          <w:tcPr>
            <w:tcW w:w="1506" w:type="dxa"/>
            <w:vAlign w:val="center"/>
          </w:tcPr>
          <w:p>
            <w:pPr>
              <w:pStyle w:val="28"/>
              <w:keepNext w:val="0"/>
              <w:keepLines w:val="0"/>
              <w:pageBreakBefore w:val="0"/>
              <w:kinsoku/>
              <w:wordWrap/>
              <w:overflowPunct/>
              <w:topLinePunct w:val="0"/>
              <w:autoSpaceDE/>
              <w:autoSpaceDN/>
              <w:bidi w:val="0"/>
              <w:adjustRightInd/>
              <w:snapToGrid/>
              <w:spacing w:line="320" w:lineRule="exact"/>
              <w:textAlignment w:val="auto"/>
              <w:outlineLvl w:val="9"/>
              <w:rPr>
                <w:rFonts w:ascii="仿宋" w:hAnsi="仿宋" w:cs="仿宋"/>
                <w:b/>
                <w:bCs w:val="0"/>
                <w:lang w:val="en-US"/>
              </w:rPr>
            </w:pPr>
            <w:r>
              <w:rPr>
                <w:rFonts w:hint="eastAsia" w:ascii="仿宋" w:hAnsi="仿宋" w:cs="仿宋"/>
                <w:b/>
                <w:bCs w:val="0"/>
                <w:lang w:val="en-US"/>
              </w:rPr>
              <w:t>-</w:t>
            </w:r>
          </w:p>
        </w:tc>
      </w:tr>
    </w:tbl>
    <w:p>
      <w:pPr>
        <w:keepNext w:val="0"/>
        <w:keepLines w:val="0"/>
        <w:pageBreakBefore w:val="0"/>
        <w:widowControl/>
        <w:kinsoku/>
        <w:wordWrap/>
        <w:overflowPunct/>
        <w:topLinePunct w:val="0"/>
        <w:autoSpaceDE/>
        <w:autoSpaceDN/>
        <w:bidi w:val="0"/>
        <w:spacing w:line="580" w:lineRule="exact"/>
        <w:ind w:firstLine="663" w:firstLineChars="200"/>
        <w:contextualSpacing/>
        <w:textAlignment w:val="auto"/>
        <w:outlineLvl w:val="9"/>
        <w:rPr>
          <w:rFonts w:eastAsia="楷体_GB2312"/>
          <w:b/>
          <w:sz w:val="33"/>
          <w:szCs w:val="33"/>
        </w:rPr>
      </w:pPr>
      <w:r>
        <w:rPr>
          <w:rFonts w:eastAsia="楷体_GB2312"/>
          <w:b/>
          <w:bCs/>
          <w:color w:val="000000"/>
          <w:kern w:val="0"/>
          <w:sz w:val="33"/>
          <w:szCs w:val="33"/>
          <w:shd w:val="clear" w:color="auto" w:fill="FFFFFF"/>
          <w:lang w:val="zh-CN"/>
        </w:rPr>
        <w:t>（</w:t>
      </w:r>
      <w:r>
        <w:rPr>
          <w:rFonts w:hint="eastAsia" w:eastAsia="楷体_GB2312"/>
          <w:b/>
          <w:bCs/>
          <w:color w:val="000000"/>
          <w:kern w:val="0"/>
          <w:sz w:val="33"/>
          <w:szCs w:val="33"/>
          <w:shd w:val="clear" w:color="auto" w:fill="FFFFFF"/>
          <w:lang w:val="zh-CN"/>
        </w:rPr>
        <w:t>三</w:t>
      </w:r>
      <w:r>
        <w:rPr>
          <w:rFonts w:eastAsia="楷体_GB2312"/>
          <w:b/>
          <w:bCs/>
          <w:color w:val="000000"/>
          <w:kern w:val="0"/>
          <w:sz w:val="33"/>
          <w:szCs w:val="33"/>
          <w:shd w:val="clear" w:color="auto" w:fill="FFFFFF"/>
          <w:lang w:val="zh-CN"/>
        </w:rPr>
        <w:t>）</w:t>
      </w:r>
      <w:r>
        <w:rPr>
          <w:rFonts w:eastAsia="楷体_GB2312"/>
          <w:b/>
          <w:sz w:val="33"/>
          <w:szCs w:val="33"/>
        </w:rPr>
        <w:t>结余分配和结转结余情况</w:t>
      </w:r>
    </w:p>
    <w:p>
      <w:pPr>
        <w:keepNext w:val="0"/>
        <w:keepLines w:val="0"/>
        <w:pageBreakBefore w:val="0"/>
        <w:widowControl/>
        <w:kinsoku/>
        <w:wordWrap/>
        <w:overflowPunct/>
        <w:topLinePunct w:val="0"/>
        <w:autoSpaceDE/>
        <w:autoSpaceDN/>
        <w:bidi w:val="0"/>
        <w:spacing w:line="560" w:lineRule="exact"/>
        <w:ind w:firstLine="640" w:firstLineChars="200"/>
        <w:contextualSpacing/>
        <w:textAlignment w:val="auto"/>
        <w:outlineLvl w:val="9"/>
        <w:rPr>
          <w:color w:val="000000"/>
          <w:kern w:val="0"/>
          <w:sz w:val="33"/>
          <w:szCs w:val="33"/>
          <w:shd w:val="clear" w:color="auto" w:fill="FFFFFF"/>
          <w:lang w:val="zh-CN"/>
        </w:rPr>
      </w:pPr>
      <w:r>
        <w:rPr>
          <w:rFonts w:hint="eastAsia" w:ascii="仿宋_GB2312" w:hAnsi="仿宋_GB2312" w:cs="仿宋_GB2312"/>
          <w:kern w:val="0"/>
          <w:szCs w:val="32"/>
          <w:shd w:val="clear" w:color="auto" w:fill="FFFFFF"/>
          <w:lang w:val="en-US" w:eastAsia="zh-CN"/>
        </w:rPr>
        <w:t>市纪委</w:t>
      </w:r>
      <w:r>
        <w:rPr>
          <w:rFonts w:hint="eastAsia" w:ascii="仿宋_GB2312" w:hAnsi="仿宋_GB2312" w:cs="仿宋_GB2312"/>
          <w:kern w:val="0"/>
          <w:szCs w:val="32"/>
          <w:shd w:val="clear" w:color="auto" w:fill="FFFFFF"/>
        </w:rPr>
        <w:t>2024年决算报表中无</w:t>
      </w:r>
      <w:r>
        <w:rPr>
          <w:rFonts w:ascii="仿宋_GB2312" w:hAnsi="仿宋_GB2312" w:cs="仿宋_GB2312"/>
          <w:kern w:val="0"/>
          <w:szCs w:val="32"/>
          <w:shd w:val="clear" w:color="auto" w:fill="FFFFFF"/>
        </w:rPr>
        <w:t>结转结余</w:t>
      </w:r>
      <w:r>
        <w:rPr>
          <w:rFonts w:hint="eastAsia" w:ascii="仿宋_GB2312" w:hAnsi="仿宋_GB2312" w:cs="仿宋_GB2312"/>
          <w:kern w:val="0"/>
          <w:szCs w:val="32"/>
          <w:shd w:val="clear" w:color="auto" w:fill="FFFFFF"/>
        </w:rPr>
        <w:t>情况</w:t>
      </w:r>
      <w:r>
        <w:rPr>
          <w:rFonts w:ascii="仿宋_GB2312" w:hAnsi="仿宋_GB2312" w:cs="仿宋_GB2312"/>
          <w:kern w:val="0"/>
          <w:szCs w:val="32"/>
          <w:shd w:val="clear" w:color="auto" w:fill="FFFFFF"/>
        </w:rPr>
        <w:t>。</w:t>
      </w:r>
    </w:p>
    <w:p>
      <w:pPr>
        <w:keepNext w:val="0"/>
        <w:keepLines w:val="0"/>
        <w:pageBreakBefore w:val="0"/>
        <w:widowControl/>
        <w:kinsoku/>
        <w:wordWrap/>
        <w:overflowPunct/>
        <w:topLinePunct w:val="0"/>
        <w:autoSpaceDE/>
        <w:autoSpaceDN/>
        <w:bidi w:val="0"/>
        <w:spacing w:line="560" w:lineRule="exact"/>
        <w:ind w:firstLine="660" w:firstLineChars="200"/>
        <w:contextualSpacing/>
        <w:textAlignment w:val="auto"/>
        <w:outlineLvl w:val="9"/>
        <w:rPr>
          <w:rFonts w:eastAsia="黑体"/>
          <w:color w:val="000000" w:themeColor="text1"/>
          <w:kern w:val="0"/>
          <w:sz w:val="33"/>
          <w:szCs w:val="33"/>
          <w:shd w:val="clear" w:color="auto" w:fill="FFFFFF"/>
          <w14:textFill>
            <w14:solidFill>
              <w14:schemeClr w14:val="tx1"/>
            </w14:solidFill>
          </w14:textFill>
        </w:rPr>
      </w:pPr>
      <w:r>
        <w:rPr>
          <w:rFonts w:eastAsia="黑体"/>
          <w:color w:val="000000"/>
          <w:kern w:val="0"/>
          <w:sz w:val="33"/>
          <w:szCs w:val="33"/>
          <w:shd w:val="clear" w:color="auto" w:fill="FFFFFF"/>
        </w:rPr>
        <w:t>三、部门预算绩效分析</w:t>
      </w:r>
    </w:p>
    <w:p>
      <w:pPr>
        <w:keepNext w:val="0"/>
        <w:keepLines w:val="0"/>
        <w:pageBreakBefore w:val="0"/>
        <w:kinsoku/>
        <w:wordWrap/>
        <w:overflowPunct/>
        <w:topLinePunct w:val="0"/>
        <w:autoSpaceDE/>
        <w:autoSpaceDN/>
        <w:bidi w:val="0"/>
        <w:spacing w:line="560" w:lineRule="exact"/>
        <w:ind w:firstLine="663" w:firstLineChars="200"/>
        <w:contextualSpacing/>
        <w:textAlignment w:val="auto"/>
        <w:outlineLvl w:val="9"/>
        <w:rPr>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w:t>
      </w:r>
      <w:r>
        <w:rPr>
          <w:rFonts w:hint="eastAsia" w:eastAsia="楷体_GB2312"/>
          <w:b/>
          <w:bCs/>
          <w:color w:val="000000"/>
          <w:kern w:val="0"/>
          <w:sz w:val="33"/>
          <w:szCs w:val="33"/>
          <w:shd w:val="clear" w:color="auto" w:fill="FFFFFF"/>
          <w:lang w:val="zh-CN"/>
        </w:rPr>
        <w:t>部门预算</w:t>
      </w:r>
      <w:r>
        <w:rPr>
          <w:rFonts w:eastAsia="楷体_GB2312"/>
          <w:b/>
          <w:bCs/>
          <w:color w:val="000000"/>
          <w:kern w:val="0"/>
          <w:sz w:val="33"/>
          <w:szCs w:val="33"/>
          <w:shd w:val="clear" w:color="auto" w:fill="FFFFFF"/>
          <w:lang w:val="zh-CN"/>
        </w:rPr>
        <w:t>总体绩效分析</w:t>
      </w:r>
    </w:p>
    <w:p>
      <w:pPr>
        <w:keepNext w:val="0"/>
        <w:keepLines w:val="0"/>
        <w:pageBreakBefore w:val="0"/>
        <w:kinsoku/>
        <w:wordWrap/>
        <w:overflowPunct/>
        <w:topLinePunct w:val="0"/>
        <w:autoSpaceDE/>
        <w:autoSpaceDN/>
        <w:bidi w:val="0"/>
        <w:spacing w:line="560" w:lineRule="exact"/>
        <w:ind w:firstLine="660" w:firstLineChars="200"/>
        <w:contextualSpacing/>
        <w:textAlignment w:val="auto"/>
        <w:outlineLvl w:val="9"/>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1.</w:t>
      </w:r>
      <w:r>
        <w:rPr>
          <w:rFonts w:hint="eastAsia" w:eastAsia="楷体_GB2312" w:cs="楷体_GB2312"/>
          <w:color w:val="000000"/>
          <w:kern w:val="0"/>
          <w:sz w:val="33"/>
          <w:szCs w:val="33"/>
          <w:shd w:val="clear" w:color="auto" w:fill="FFFFFF"/>
          <w:lang w:val="zh-CN"/>
        </w:rPr>
        <w:t>履职效能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lang w:val="zh-CN"/>
        </w:rPr>
        <w:t>负责党的纪律检查工作，依照党的章程和其他党内法规履行监督、执纪、问责职责、负责全市监察工作，负责组织协调全面从严治党、党风廉政建设和反腐败宣传教育工作，依照法律规定履行监督、调查、处置职责，负责综合分析全面从严治党、党风廉政建设和反腐败工作情况根据干部管理权限,负责纪检监察系统领导班子建设、干部队伍建设和组织建设的综合规划、政策研究、制度建设和业务指导。</w:t>
      </w:r>
    </w:p>
    <w:p>
      <w:pPr>
        <w:keepNext w:val="0"/>
        <w:keepLines w:val="0"/>
        <w:pageBreakBefore w:val="0"/>
        <w:kinsoku/>
        <w:wordWrap/>
        <w:overflowPunct/>
        <w:topLinePunct w:val="0"/>
        <w:autoSpaceDE/>
        <w:autoSpaceDN/>
        <w:bidi w:val="0"/>
        <w:spacing w:line="560" w:lineRule="exact"/>
        <w:ind w:firstLine="660" w:firstLineChars="200"/>
        <w:contextualSpacing/>
        <w:textAlignment w:val="auto"/>
        <w:outlineLvl w:val="9"/>
        <w:rPr>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2.</w:t>
      </w:r>
      <w:r>
        <w:rPr>
          <w:rFonts w:eastAsia="楷体_GB2312" w:cs="楷体_GB2312"/>
          <w:color w:val="000000"/>
          <w:kern w:val="0"/>
          <w:sz w:val="33"/>
          <w:szCs w:val="33"/>
          <w:shd w:val="clear" w:color="auto" w:fill="FFFFFF"/>
          <w:lang w:val="zh-CN"/>
        </w:rPr>
        <w:t>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（1）预算编制质量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按照《预算法》有关规定和2024年部门预算编制政策口径，将2024年所有收入和支出均纳入部门预算管理。按要求完成了预算基础库、项目库、预算草案和项目绩效目标的编报工作。根据2024年初预算批复文件及2024年1-12月预算可执行情况表,本单位2024年偏离度</w:t>
      </w:r>
      <w:r>
        <w:rPr>
          <w:rFonts w:hint="eastAsia" w:ascii="仿宋" w:hAnsi="仿宋" w:eastAsia="仿宋"/>
          <w:color w:val="000000"/>
          <w:szCs w:val="32"/>
          <w:lang w:val="en-US" w:eastAsia="zh-CN"/>
        </w:rPr>
        <w:t>16.45</w:t>
      </w:r>
      <w:r>
        <w:rPr>
          <w:rFonts w:hint="eastAsia" w:ascii="仿宋" w:hAnsi="仿宋" w:eastAsia="仿宋"/>
          <w:color w:val="000000"/>
          <w:szCs w:val="32"/>
        </w:rPr>
        <w:t>%,产生偏离度主要原因为年度中期</w:t>
      </w:r>
      <w:r>
        <w:rPr>
          <w:rFonts w:hint="eastAsia" w:ascii="仿宋" w:hAnsi="仿宋" w:eastAsia="仿宋"/>
          <w:color w:val="000000"/>
          <w:szCs w:val="32"/>
          <w:lang w:val="en-US" w:eastAsia="zh-CN"/>
        </w:rPr>
        <w:t>追加纪检监察大案要案经费</w:t>
      </w:r>
      <w:r>
        <w:rPr>
          <w:rFonts w:hint="eastAsia" w:ascii="仿宋" w:hAnsi="仿宋" w:eastAsia="仿宋"/>
          <w:color w:val="000000"/>
          <w:szCs w:val="32"/>
        </w:rPr>
        <w:t>。根据《部门整体支出绩效自评打分表》的评分说明,本项指标权重8分，得分</w:t>
      </w:r>
      <w:r>
        <w:rPr>
          <w:rFonts w:hint="eastAsia" w:ascii="仿宋" w:hAnsi="仿宋" w:eastAsia="仿宋"/>
          <w:color w:val="000000"/>
          <w:szCs w:val="32"/>
          <w:lang w:val="en-US" w:eastAsia="zh-CN"/>
        </w:rPr>
        <w:t>6.68</w:t>
      </w:r>
      <w:r>
        <w:rPr>
          <w:rFonts w:hint="eastAsia" w:ascii="仿宋" w:hAnsi="仿宋" w:eastAsia="仿宋"/>
          <w:color w:val="000000"/>
          <w:szCs w:val="32"/>
        </w:rPr>
        <w:t>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支出执行进度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根据《</w:t>
      </w:r>
      <w:r>
        <w:rPr>
          <w:rFonts w:hint="eastAsia" w:ascii="仿宋" w:hAnsi="仿宋" w:eastAsia="仿宋"/>
          <w:color w:val="000000"/>
          <w:szCs w:val="32"/>
          <w:lang w:val="en-US" w:eastAsia="zh-CN"/>
        </w:rPr>
        <w:t>市纪委</w:t>
      </w:r>
      <w:r>
        <w:rPr>
          <w:rFonts w:hint="eastAsia" w:ascii="仿宋" w:hAnsi="仿宋" w:eastAsia="仿宋"/>
          <w:color w:val="000000"/>
          <w:szCs w:val="32"/>
        </w:rPr>
        <w:t>2024年度单位预算》年初预算批复文件及2024年1-12月预算可执行情况表。根据《部门整体支出绩效自评打分表》的评分说明本项指标权重9分、得分8.</w:t>
      </w:r>
      <w:r>
        <w:rPr>
          <w:rFonts w:hint="eastAsia" w:ascii="仿宋" w:hAnsi="仿宋" w:eastAsia="仿宋"/>
          <w:color w:val="000000"/>
          <w:szCs w:val="32"/>
          <w:lang w:val="en-US" w:eastAsia="zh-CN"/>
        </w:rPr>
        <w:t>65</w:t>
      </w:r>
      <w:r>
        <w:rPr>
          <w:rFonts w:hint="eastAsia" w:ascii="仿宋" w:hAnsi="仿宋" w:eastAsia="仿宋"/>
          <w:color w:val="000000"/>
          <w:szCs w:val="32"/>
        </w:rPr>
        <w:t>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（3）预算年终结余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本单位2024年年终结转结余资金0万元，单位整体预算结余率0%。根据《部门整体支出绩效自评打分表》的评分说明本项指标权重8分、得分8分。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（4）</w:t>
      </w:r>
      <w:bookmarkStart w:id="0" w:name="OLE_LINK26"/>
      <w:r>
        <w:rPr>
          <w:rFonts w:hint="eastAsia" w:ascii="仿宋" w:hAnsi="仿宋" w:eastAsia="仿宋"/>
          <w:color w:val="000000"/>
          <w:szCs w:val="32"/>
        </w:rPr>
        <w:t>严控一般性支出</w:t>
      </w:r>
      <w:bookmarkEnd w:id="0"/>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根据《</w:t>
      </w:r>
      <w:r>
        <w:rPr>
          <w:rFonts w:hint="eastAsia" w:ascii="仿宋" w:hAnsi="仿宋" w:eastAsia="仿宋"/>
          <w:color w:val="000000"/>
          <w:szCs w:val="32"/>
          <w:lang w:val="en-US" w:eastAsia="zh-CN"/>
        </w:rPr>
        <w:t>市纪委</w:t>
      </w:r>
      <w:r>
        <w:rPr>
          <w:rFonts w:hint="eastAsia" w:ascii="仿宋" w:hAnsi="仿宋" w:eastAsia="仿宋"/>
          <w:color w:val="000000"/>
          <w:szCs w:val="32"/>
        </w:rPr>
        <w:t>2024年度单位预算》年初预算批复文件、2024年1-12月预算可执行情况表及2024年部门决算表。根据《部门整体支出绩效自评打分表》的评分说明本项指标权重6分、得分6分。</w:t>
      </w:r>
    </w:p>
    <w:p>
      <w:pPr>
        <w:keepNext w:val="0"/>
        <w:keepLines w:val="0"/>
        <w:pageBreakBefore w:val="0"/>
        <w:kinsoku/>
        <w:wordWrap/>
        <w:overflowPunct/>
        <w:topLinePunct w:val="0"/>
        <w:autoSpaceDE/>
        <w:autoSpaceDN/>
        <w:bidi w:val="0"/>
        <w:spacing w:line="580" w:lineRule="exact"/>
        <w:ind w:firstLine="660" w:firstLineChars="200"/>
        <w:contextualSpacing/>
        <w:textAlignment w:val="auto"/>
        <w:outlineLvl w:val="9"/>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3.</w:t>
      </w:r>
      <w:r>
        <w:rPr>
          <w:rFonts w:eastAsia="楷体_GB2312" w:cs="楷体_GB2312"/>
          <w:color w:val="000000"/>
          <w:kern w:val="0"/>
          <w:sz w:val="33"/>
          <w:szCs w:val="33"/>
          <w:shd w:val="clear" w:color="auto" w:fill="FFFFFF"/>
          <w:lang w:val="zh-CN"/>
        </w:rPr>
        <w:t>资产管理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lang w:val="zh-CN"/>
        </w:rPr>
        <w:t>（</w:t>
      </w:r>
      <w:r>
        <w:rPr>
          <w:rFonts w:hint="eastAsia" w:ascii="仿宋" w:hAnsi="仿宋" w:eastAsia="仿宋"/>
          <w:color w:val="000000"/>
          <w:szCs w:val="32"/>
        </w:rPr>
        <w:t>1</w:t>
      </w:r>
      <w:r>
        <w:rPr>
          <w:rFonts w:hint="eastAsia" w:ascii="仿宋" w:hAnsi="仿宋" w:eastAsia="仿宋"/>
          <w:color w:val="000000"/>
          <w:szCs w:val="32"/>
          <w:lang w:val="zh-CN"/>
        </w:rPr>
        <w:t>）</w:t>
      </w:r>
      <w:r>
        <w:rPr>
          <w:rFonts w:hint="eastAsia" w:ascii="仿宋" w:hAnsi="仿宋" w:eastAsia="仿宋"/>
          <w:color w:val="000000"/>
          <w:szCs w:val="32"/>
        </w:rPr>
        <w:t>人均资产变化率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lang w:val="zh-CN"/>
        </w:rPr>
      </w:pPr>
      <w:r>
        <w:rPr>
          <w:rFonts w:hint="eastAsia" w:ascii="仿宋" w:hAnsi="仿宋" w:eastAsia="仿宋"/>
          <w:color w:val="000000"/>
          <w:szCs w:val="32"/>
          <w:lang w:val="zh-CN"/>
        </w:rPr>
        <w:t>根据2024年部门决算报表、部门预算报表及部门行政事业性国有资产报表资料,本单位人均资产变化率</w:t>
      </w:r>
      <w:r>
        <w:rPr>
          <w:rFonts w:hint="eastAsia" w:ascii="仿宋" w:hAnsi="仿宋" w:eastAsia="仿宋"/>
          <w:color w:val="000000"/>
          <w:szCs w:val="32"/>
          <w:lang w:val="en-US" w:eastAsia="zh-CN"/>
        </w:rPr>
        <w:t>-3.90</w:t>
      </w:r>
      <w:r>
        <w:rPr>
          <w:rFonts w:hint="eastAsia" w:ascii="仿宋" w:hAnsi="仿宋" w:eastAsia="仿宋"/>
          <w:color w:val="000000"/>
          <w:szCs w:val="32"/>
          <w:lang w:val="zh-CN"/>
        </w:rPr>
        <w:t>%（其中2024年行政事业单位人均占有资产</w:t>
      </w:r>
      <w:r>
        <w:rPr>
          <w:rFonts w:hint="eastAsia" w:ascii="仿宋" w:hAnsi="仿宋" w:eastAsia="仿宋"/>
          <w:color w:val="000000"/>
          <w:szCs w:val="32"/>
          <w:lang w:val="en-US" w:eastAsia="zh-CN"/>
        </w:rPr>
        <w:t>4.44</w:t>
      </w:r>
      <w:r>
        <w:rPr>
          <w:rFonts w:hint="eastAsia" w:ascii="仿宋" w:hAnsi="仿宋" w:eastAsia="仿宋"/>
          <w:color w:val="000000"/>
          <w:szCs w:val="32"/>
          <w:lang w:val="zh-CN"/>
        </w:rPr>
        <w:t>万元/人、2023年行政事业单位人均占有资产</w:t>
      </w:r>
      <w:r>
        <w:rPr>
          <w:rFonts w:hint="eastAsia" w:ascii="仿宋" w:hAnsi="仿宋" w:eastAsia="仿宋"/>
          <w:color w:val="000000"/>
          <w:szCs w:val="32"/>
          <w:lang w:val="en-US" w:eastAsia="zh-CN"/>
        </w:rPr>
        <w:t>4.62</w:t>
      </w:r>
      <w:r>
        <w:rPr>
          <w:rFonts w:hint="eastAsia" w:ascii="仿宋" w:hAnsi="仿宋" w:eastAsia="仿宋"/>
          <w:color w:val="000000"/>
          <w:szCs w:val="32"/>
          <w:lang w:val="zh-CN"/>
        </w:rPr>
        <w:t>万元/人）根据《部门整体支出绩效自评打分表》评分说明,本项指标权重3分、得分</w:t>
      </w:r>
      <w:r>
        <w:rPr>
          <w:rFonts w:hint="eastAsia" w:ascii="仿宋" w:hAnsi="仿宋" w:eastAsia="仿宋"/>
          <w:color w:val="000000"/>
          <w:szCs w:val="32"/>
          <w:lang w:val="en-US" w:eastAsia="zh-CN"/>
        </w:rPr>
        <w:t>3</w:t>
      </w:r>
      <w:r>
        <w:rPr>
          <w:rFonts w:hint="eastAsia" w:ascii="仿宋" w:hAnsi="仿宋" w:eastAsia="仿宋"/>
          <w:color w:val="000000"/>
          <w:szCs w:val="32"/>
          <w:lang w:val="zh-CN"/>
        </w:rPr>
        <w:t>分。</w:t>
      </w:r>
    </w:p>
    <w:tbl>
      <w:tblPr>
        <w:tblStyle w:val="16"/>
        <w:tblpPr w:leftFromText="180" w:rightFromText="180" w:vertAnchor="text" w:horzAnchor="page" w:tblpX="1482" w:tblpY="157"/>
        <w:tblOverlap w:val="never"/>
        <w:tblW w:w="9279" w:type="dxa"/>
        <w:tblInd w:w="0" w:type="dxa"/>
        <w:tblLayout w:type="fixed"/>
        <w:tblCellMar>
          <w:top w:w="0" w:type="dxa"/>
          <w:left w:w="0" w:type="dxa"/>
          <w:bottom w:w="0" w:type="dxa"/>
          <w:right w:w="0" w:type="dxa"/>
        </w:tblCellMar>
      </w:tblPr>
      <w:tblGrid>
        <w:gridCol w:w="1192"/>
        <w:gridCol w:w="1192"/>
        <w:gridCol w:w="1192"/>
        <w:gridCol w:w="1192"/>
        <w:gridCol w:w="1192"/>
        <w:gridCol w:w="1192"/>
        <w:gridCol w:w="1192"/>
        <w:gridCol w:w="935"/>
      </w:tblGrid>
      <w:tr>
        <w:tblPrEx>
          <w:tblLayout w:type="fixed"/>
          <w:tblCellMar>
            <w:top w:w="0" w:type="dxa"/>
            <w:left w:w="0" w:type="dxa"/>
            <w:bottom w:w="0" w:type="dxa"/>
            <w:right w:w="0" w:type="dxa"/>
          </w:tblCellMar>
        </w:tblPrEx>
        <w:trPr>
          <w:trHeight w:val="65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年份</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固定资产</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无形资产</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总资产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编制内实有人数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人均资产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人均资产</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变化率</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人均资产增长</w:t>
            </w:r>
          </w:p>
        </w:tc>
      </w:tr>
      <w:tr>
        <w:tblPrEx>
          <w:tblLayout w:type="fixed"/>
          <w:tblCellMar>
            <w:top w:w="0" w:type="dxa"/>
            <w:left w:w="0" w:type="dxa"/>
            <w:bottom w:w="0" w:type="dxa"/>
            <w:right w:w="0" w:type="dxa"/>
          </w:tblCellMar>
        </w:tblPrEx>
        <w:trPr>
          <w:trHeight w:val="842"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2023年度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689.78</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21.97</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711.75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154</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4.62</w:t>
            </w:r>
            <w:r>
              <w:rPr>
                <w:rFonts w:hint="eastAsia" w:ascii="宋体" w:hAnsi="宋体" w:eastAsia="宋体" w:cs="宋体"/>
                <w:color w:val="000000"/>
                <w:kern w:val="0"/>
                <w:sz w:val="22"/>
                <w:szCs w:val="22"/>
                <w:lang w:bidi="ar"/>
              </w:rPr>
              <w:t xml:space="preserve"> </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.90%</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.90%</w:t>
            </w:r>
          </w:p>
        </w:tc>
      </w:tr>
      <w:tr>
        <w:tblPrEx>
          <w:tblLayout w:type="fixed"/>
          <w:tblCellMar>
            <w:top w:w="0" w:type="dxa"/>
            <w:left w:w="0" w:type="dxa"/>
            <w:bottom w:w="0" w:type="dxa"/>
            <w:right w:w="0" w:type="dxa"/>
          </w:tblCellMar>
        </w:tblPrEx>
        <w:trPr>
          <w:trHeight w:val="87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2024年度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633.35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14.70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648.05</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146</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uto"/>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4.44</w:t>
            </w: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宋体" w:hAnsi="宋体" w:eastAsia="宋体" w:cs="宋体"/>
                <w:color w:val="000000"/>
                <w:sz w:val="22"/>
                <w:szCs w:val="22"/>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ascii="宋体" w:hAnsi="宋体" w:eastAsia="宋体" w:cs="宋体"/>
                <w:color w:val="000000"/>
                <w:sz w:val="22"/>
                <w:szCs w:val="22"/>
              </w:rPr>
            </w:pPr>
          </w:p>
        </w:tc>
      </w:tr>
    </w:tbl>
    <w:p>
      <w:pPr>
        <w:pStyle w:val="2"/>
        <w:spacing w:line="360" w:lineRule="auto"/>
        <w:ind w:firstLine="66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zh-CN" w:eastAsia="zh-CN" w:bidi="ar-SA"/>
        </w:rPr>
        <w:t>（</w:t>
      </w:r>
      <w:r>
        <w:rPr>
          <w:rFonts w:hint="eastAsia" w:ascii="仿宋" w:hAnsi="仿宋" w:eastAsia="仿宋" w:cs="Times New Roman"/>
          <w:color w:val="000000"/>
          <w:kern w:val="2"/>
          <w:sz w:val="32"/>
          <w:szCs w:val="32"/>
          <w:lang w:val="en-US" w:eastAsia="zh-CN" w:bidi="ar-SA"/>
        </w:rPr>
        <w:t>2</w:t>
      </w:r>
      <w:r>
        <w:rPr>
          <w:rFonts w:hint="eastAsia" w:ascii="仿宋" w:hAnsi="仿宋" w:eastAsia="仿宋" w:cs="Times New Roman"/>
          <w:color w:val="000000"/>
          <w:kern w:val="2"/>
          <w:sz w:val="32"/>
          <w:szCs w:val="32"/>
          <w:lang w:val="zh-CN" w:eastAsia="zh-CN" w:bidi="ar-SA"/>
        </w:rPr>
        <w:t>）</w:t>
      </w:r>
      <w:r>
        <w:rPr>
          <w:rFonts w:hint="eastAsia" w:ascii="仿宋" w:hAnsi="仿宋" w:eastAsia="仿宋" w:cs="Times New Roman"/>
          <w:color w:val="000000"/>
          <w:kern w:val="2"/>
          <w:sz w:val="32"/>
          <w:szCs w:val="32"/>
          <w:lang w:val="en-US" w:eastAsia="zh-CN" w:bidi="ar-SA"/>
        </w:rPr>
        <w:t>资产利用率</w:t>
      </w:r>
    </w:p>
    <w:p>
      <w:pPr>
        <w:pStyle w:val="2"/>
        <w:keepNext w:val="0"/>
        <w:keepLines w:val="0"/>
        <w:pageBreakBefore w:val="0"/>
        <w:kinsoku/>
        <w:wordWrap/>
        <w:overflowPunct/>
        <w:topLinePunct w:val="0"/>
        <w:autoSpaceDE/>
        <w:autoSpaceDN/>
        <w:bidi w:val="0"/>
        <w:spacing w:line="580" w:lineRule="exact"/>
        <w:ind w:firstLine="660"/>
        <w:textAlignment w:val="auto"/>
        <w:outlineLvl w:val="9"/>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根据市纪委截至2024年12月31日固定资产卡片明细数据，本单位资产2051.86万元，所有资产均在使用，资产利用率100%。</w:t>
      </w:r>
    </w:p>
    <w:p>
      <w:pPr>
        <w:keepNext w:val="0"/>
        <w:keepLines w:val="0"/>
        <w:pageBreakBefore w:val="0"/>
        <w:widowControl/>
        <w:kinsoku/>
        <w:wordWrap/>
        <w:overflowPunct/>
        <w:topLinePunct w:val="0"/>
        <w:autoSpaceDE/>
        <w:autoSpaceDN/>
        <w:bidi w:val="0"/>
        <w:spacing w:line="580" w:lineRule="exact"/>
        <w:ind w:firstLine="640" w:firstLineChars="200"/>
        <w:contextualSpacing/>
        <w:textAlignment w:val="auto"/>
        <w:outlineLvl w:val="9"/>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（3）资产盘活率</w:t>
      </w:r>
    </w:p>
    <w:p>
      <w:pPr>
        <w:keepNext w:val="0"/>
        <w:keepLines w:val="0"/>
        <w:pageBreakBefore w:val="0"/>
        <w:widowControl/>
        <w:kinsoku/>
        <w:wordWrap/>
        <w:overflowPunct/>
        <w:topLinePunct w:val="0"/>
        <w:autoSpaceDE/>
        <w:autoSpaceDN/>
        <w:bidi w:val="0"/>
        <w:spacing w:line="580" w:lineRule="exact"/>
        <w:ind w:firstLine="640" w:firstLineChars="200"/>
        <w:contextualSpacing/>
        <w:textAlignment w:val="auto"/>
        <w:outlineLvl w:val="9"/>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根据市纪委截至2024年12月31日固定资产卡片明细数据，并结合现场勘察情况。2024年</w:t>
      </w:r>
      <w:r>
        <w:rPr>
          <w:rFonts w:hint="eastAsia" w:ascii="仿宋" w:hAnsi="仿宋" w:eastAsia="仿宋" w:cs="Times New Roman"/>
          <w:color w:val="000000"/>
          <w:kern w:val="2"/>
          <w:sz w:val="32"/>
          <w:szCs w:val="32"/>
          <w:lang w:val="zh-CN" w:eastAsia="zh-CN" w:bidi="ar-SA"/>
        </w:rPr>
        <w:t>单位</w:t>
      </w:r>
      <w:r>
        <w:rPr>
          <w:rFonts w:hint="eastAsia" w:ascii="仿宋" w:hAnsi="仿宋" w:eastAsia="仿宋" w:cs="Times New Roman"/>
          <w:color w:val="000000"/>
          <w:kern w:val="2"/>
          <w:sz w:val="32"/>
          <w:szCs w:val="32"/>
          <w:lang w:val="en-US" w:eastAsia="zh-CN" w:bidi="ar-SA"/>
        </w:rPr>
        <w:t>无</w:t>
      </w:r>
      <w:r>
        <w:rPr>
          <w:rFonts w:hint="eastAsia" w:ascii="仿宋" w:hAnsi="仿宋" w:eastAsia="仿宋" w:cs="Times New Roman"/>
          <w:color w:val="000000"/>
          <w:kern w:val="2"/>
          <w:sz w:val="32"/>
          <w:szCs w:val="32"/>
          <w:lang w:val="zh-CN" w:eastAsia="zh-CN" w:bidi="ar-SA"/>
        </w:rPr>
        <w:t>闲置资产占比变化率</w:t>
      </w:r>
      <w:r>
        <w:rPr>
          <w:rFonts w:hint="eastAsia" w:ascii="仿宋" w:hAnsi="仿宋" w:eastAsia="仿宋" w:cs="Times New Roman"/>
          <w:color w:val="000000"/>
          <w:kern w:val="2"/>
          <w:sz w:val="32"/>
          <w:szCs w:val="32"/>
          <w:lang w:val="en-US" w:eastAsia="zh-CN" w:bidi="ar-SA"/>
        </w:rPr>
        <w:t>，根据《部门整体支出绩效自评打分表》的评分说明本项指标权重3分、得分3分。</w:t>
      </w:r>
    </w:p>
    <w:p>
      <w:pPr>
        <w:keepNext w:val="0"/>
        <w:keepLines w:val="0"/>
        <w:pageBreakBefore w:val="0"/>
        <w:widowControl/>
        <w:kinsoku/>
        <w:wordWrap/>
        <w:overflowPunct/>
        <w:topLinePunct w:val="0"/>
        <w:autoSpaceDE/>
        <w:autoSpaceDN/>
        <w:bidi w:val="0"/>
        <w:spacing w:line="580" w:lineRule="exact"/>
        <w:ind w:left="640" w:leftChars="200"/>
        <w:contextualSpacing/>
        <w:textAlignment w:val="auto"/>
        <w:outlineLvl w:val="9"/>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4.</w:t>
      </w:r>
      <w:r>
        <w:rPr>
          <w:rFonts w:eastAsia="楷体_GB2312" w:cs="楷体_GB2312"/>
          <w:color w:val="000000"/>
          <w:kern w:val="0"/>
          <w:sz w:val="33"/>
          <w:szCs w:val="33"/>
          <w:shd w:val="clear" w:color="auto" w:fill="FFFFFF"/>
          <w:lang w:val="zh-CN"/>
        </w:rPr>
        <w:t>采购管理</w:t>
      </w:r>
    </w:p>
    <w:p>
      <w:pPr>
        <w:keepNext w:val="0"/>
        <w:keepLines w:val="0"/>
        <w:pageBreakBefore w:val="0"/>
        <w:widowControl/>
        <w:kinsoku/>
        <w:wordWrap/>
        <w:overflowPunct/>
        <w:topLinePunct w:val="0"/>
        <w:autoSpaceDE/>
        <w:autoSpaceDN/>
        <w:bidi w:val="0"/>
        <w:spacing w:line="580" w:lineRule="exact"/>
        <w:ind w:left="640" w:leftChars="200"/>
        <w:contextualSpacing/>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（1）支持中小企业发展</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根据单位涉及政府采购预算的《政府采购预算表》及《</w:t>
      </w:r>
      <w:r>
        <w:rPr>
          <w:rFonts w:hint="eastAsia" w:ascii="仿宋" w:hAnsi="仿宋" w:eastAsia="仿宋"/>
          <w:color w:val="000000"/>
          <w:szCs w:val="32"/>
          <w:lang w:val="en-US" w:eastAsia="zh-CN"/>
        </w:rPr>
        <w:t>市纪委</w:t>
      </w:r>
      <w:r>
        <w:rPr>
          <w:rFonts w:hint="eastAsia" w:ascii="仿宋" w:hAnsi="仿宋" w:eastAsia="仿宋"/>
          <w:color w:val="000000"/>
          <w:szCs w:val="32"/>
        </w:rPr>
        <w:t>2024年面向中小企业预留项目执行情况公告》。本单位2024年采购共计</w:t>
      </w:r>
      <w:r>
        <w:rPr>
          <w:rFonts w:hint="eastAsia" w:ascii="仿宋" w:hAnsi="仿宋" w:eastAsia="仿宋"/>
          <w:color w:val="000000"/>
          <w:szCs w:val="32"/>
          <w:lang w:val="en-US" w:eastAsia="zh-CN"/>
        </w:rPr>
        <w:t>138.64</w:t>
      </w:r>
      <w:r>
        <w:rPr>
          <w:rFonts w:hint="eastAsia" w:ascii="仿宋" w:hAnsi="仿宋" w:eastAsia="仿宋"/>
          <w:color w:val="000000"/>
          <w:szCs w:val="32"/>
        </w:rPr>
        <w:t>万元，其中，面向小微企业采购</w:t>
      </w:r>
      <w:r>
        <w:rPr>
          <w:rFonts w:hint="eastAsia" w:ascii="仿宋" w:hAnsi="仿宋" w:eastAsia="仿宋"/>
          <w:color w:val="000000"/>
          <w:szCs w:val="32"/>
          <w:lang w:val="en-US" w:eastAsia="zh-CN"/>
        </w:rPr>
        <w:t>138.64</w:t>
      </w:r>
      <w:r>
        <w:rPr>
          <w:rFonts w:hint="eastAsia" w:ascii="仿宋" w:hAnsi="仿宋" w:eastAsia="仿宋"/>
          <w:color w:val="000000"/>
          <w:szCs w:val="32"/>
        </w:rPr>
        <w:t>万元，占</w:t>
      </w:r>
      <w:r>
        <w:rPr>
          <w:rFonts w:hint="eastAsia" w:ascii="仿宋" w:hAnsi="仿宋" w:eastAsia="仿宋"/>
          <w:color w:val="000000"/>
          <w:szCs w:val="32"/>
          <w:lang w:val="en-US" w:eastAsia="zh-CN"/>
        </w:rPr>
        <w:t>100</w:t>
      </w:r>
      <w:r>
        <w:rPr>
          <w:rFonts w:hint="eastAsia" w:ascii="仿宋" w:hAnsi="仿宋" w:eastAsia="仿宋"/>
          <w:color w:val="000000"/>
          <w:szCs w:val="32"/>
        </w:rPr>
        <w:t>%。符合财政部工业和信息化部《关于印发〈政府采购促进中小企业发展管理办法〉的通知》（财库〔2020〕46号）有关要求。根据《部门整体支出绩效自评打分表》的评分说明本项指标权重3分、得分3分。</w:t>
      </w:r>
    </w:p>
    <w:p>
      <w:pPr>
        <w:keepNext w:val="0"/>
        <w:keepLines w:val="0"/>
        <w:pageBreakBefore w:val="0"/>
        <w:widowControl/>
        <w:kinsoku/>
        <w:wordWrap/>
        <w:overflowPunct/>
        <w:topLinePunct w:val="0"/>
        <w:autoSpaceDE/>
        <w:autoSpaceDN/>
        <w:bidi w:val="0"/>
        <w:spacing w:line="580" w:lineRule="exact"/>
        <w:ind w:firstLine="660" w:firstLineChars="200"/>
        <w:contextualSpacing/>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（2）采购执行率</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本单位2024年度政府采购项目资金</w:t>
      </w:r>
      <w:r>
        <w:rPr>
          <w:rFonts w:hint="eastAsia" w:ascii="仿宋" w:hAnsi="仿宋" w:eastAsia="仿宋"/>
          <w:color w:val="000000"/>
          <w:szCs w:val="32"/>
          <w:lang w:val="en-US" w:eastAsia="zh-CN"/>
        </w:rPr>
        <w:t>138.64</w:t>
      </w:r>
      <w:r>
        <w:rPr>
          <w:rFonts w:hint="eastAsia" w:ascii="仿宋" w:hAnsi="仿宋" w:eastAsia="仿宋"/>
          <w:color w:val="000000"/>
          <w:szCs w:val="32"/>
        </w:rPr>
        <w:t>万元，2024年采购执行率100%。根据《部门整体支出绩效自评打分表》的评分说明本项指标权重3分、得分3分。</w:t>
      </w:r>
    </w:p>
    <w:p>
      <w:pPr>
        <w:keepNext w:val="0"/>
        <w:keepLines w:val="0"/>
        <w:pageBreakBefore w:val="0"/>
        <w:widowControl/>
        <w:kinsoku/>
        <w:wordWrap/>
        <w:overflowPunct/>
        <w:topLinePunct w:val="0"/>
        <w:autoSpaceDE/>
        <w:autoSpaceDN/>
        <w:bidi w:val="0"/>
        <w:spacing w:line="580" w:lineRule="exact"/>
        <w:ind w:firstLine="990" w:firstLineChars="300"/>
        <w:contextualSpacing/>
        <w:textAlignment w:val="auto"/>
        <w:outlineLvl w:val="9"/>
        <w:rPr>
          <w:rFonts w:eastAsia="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5.</w:t>
      </w:r>
      <w:r>
        <w:rPr>
          <w:rFonts w:eastAsia="楷体_GB2312" w:cs="楷体_GB2312"/>
          <w:color w:val="000000"/>
          <w:kern w:val="0"/>
          <w:sz w:val="33"/>
          <w:szCs w:val="33"/>
          <w:shd w:val="clear" w:color="auto" w:fill="FFFFFF"/>
          <w:lang w:val="zh-CN"/>
        </w:rPr>
        <w:t>财务管理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（1）财务管理制度建设情况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lang w:val="en-US" w:eastAsia="zh-CN"/>
        </w:rPr>
        <w:t>十九大以来，我委相继制定出台《机关财务制度》《厉行节约十条措施》《案件查办管理经费实施细则》等制度，提高预算绩效管理规范化、制度化水平。</w:t>
      </w:r>
      <w:r>
        <w:rPr>
          <w:rFonts w:hint="eastAsia" w:ascii="仿宋" w:hAnsi="仿宋" w:eastAsia="仿宋"/>
          <w:color w:val="000000"/>
          <w:szCs w:val="32"/>
        </w:rPr>
        <w:t>不涉及扣分。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（2）财务岗位设置情况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本单位设置会计、出纳财务工作岗位。会计岗位的职责权限为账务核算与处理，对外报送各项财务资料；出纳岗位的职责权限为对单位资金审核合理后予以录入支付。本单位严格实行不相容岗位分离。不涉及扣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（3）资金使用规范情况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lang w:val="zh-CN"/>
        </w:rPr>
      </w:pPr>
      <w:r>
        <w:rPr>
          <w:rFonts w:hint="eastAsia" w:ascii="仿宋" w:hAnsi="仿宋" w:eastAsia="仿宋"/>
          <w:color w:val="000000"/>
          <w:szCs w:val="32"/>
        </w:rPr>
        <w:t>财务单位在本部门绩效自评价期间抽查了人员经费，日常公用经费等项目支付有关资料。单位资金使用符合相关财务管理制度规定的（专项资金管理办法）。不涉及扣分。</w:t>
      </w:r>
    </w:p>
    <w:p>
      <w:pPr>
        <w:keepNext w:val="0"/>
        <w:keepLines w:val="0"/>
        <w:pageBreakBefore w:val="0"/>
        <w:widowControl/>
        <w:kinsoku/>
        <w:wordWrap/>
        <w:overflowPunct/>
        <w:topLinePunct w:val="0"/>
        <w:autoSpaceDE/>
        <w:autoSpaceDN/>
        <w:bidi w:val="0"/>
        <w:spacing w:line="580" w:lineRule="exact"/>
        <w:ind w:firstLine="663" w:firstLineChars="200"/>
        <w:contextualSpacing/>
        <w:textAlignment w:val="auto"/>
        <w:outlineLvl w:val="9"/>
        <w:rPr>
          <w:b/>
          <w:bCs/>
          <w:color w:val="000000"/>
          <w:kern w:val="0"/>
          <w:sz w:val="33"/>
          <w:szCs w:val="33"/>
          <w:shd w:val="clear" w:color="auto" w:fill="FFFFFF"/>
        </w:rPr>
      </w:pPr>
      <w:r>
        <w:rPr>
          <w:rFonts w:eastAsia="楷体_GB2312"/>
          <w:b/>
          <w:bCs/>
          <w:color w:val="000000"/>
          <w:kern w:val="0"/>
          <w:sz w:val="33"/>
          <w:szCs w:val="33"/>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lang w:val="zh-CN"/>
        </w:rPr>
      </w:pPr>
      <w:r>
        <w:rPr>
          <w:rFonts w:hint="eastAsia" w:ascii="仿宋" w:hAnsi="仿宋" w:eastAsia="仿宋"/>
          <w:color w:val="000000"/>
          <w:szCs w:val="32"/>
        </w:rPr>
        <w:t>常年项目绩效分析。</w:t>
      </w:r>
      <w:r>
        <w:rPr>
          <w:rFonts w:hint="eastAsia" w:ascii="仿宋" w:hAnsi="仿宋" w:eastAsia="仿宋"/>
          <w:color w:val="000000"/>
          <w:szCs w:val="32"/>
          <w:lang w:val="zh-CN"/>
        </w:rPr>
        <w:t>该类项目总数</w:t>
      </w:r>
      <w:r>
        <w:rPr>
          <w:rFonts w:hint="eastAsia" w:ascii="仿宋" w:hAnsi="仿宋" w:eastAsia="仿宋"/>
          <w:color w:val="000000"/>
          <w:szCs w:val="32"/>
          <w:lang w:val="en-US" w:eastAsia="zh-CN"/>
        </w:rPr>
        <w:t>6</w:t>
      </w:r>
      <w:r>
        <w:rPr>
          <w:rFonts w:hint="eastAsia" w:ascii="仿宋" w:hAnsi="仿宋" w:eastAsia="仿宋"/>
          <w:color w:val="000000"/>
          <w:szCs w:val="32"/>
          <w:lang w:val="zh-CN"/>
        </w:rPr>
        <w:t>个，涉及预算总金额</w:t>
      </w:r>
      <w:r>
        <w:rPr>
          <w:rFonts w:hint="eastAsia" w:ascii="仿宋" w:hAnsi="仿宋" w:eastAsia="仿宋"/>
          <w:color w:val="000000"/>
          <w:szCs w:val="32"/>
          <w:lang w:val="en-US" w:eastAsia="zh-CN"/>
        </w:rPr>
        <w:t>251.68</w:t>
      </w:r>
      <w:r>
        <w:rPr>
          <w:rFonts w:hint="eastAsia" w:ascii="仿宋" w:hAnsi="仿宋" w:eastAsia="仿宋"/>
          <w:color w:val="000000"/>
          <w:szCs w:val="32"/>
          <w:lang w:val="zh-CN"/>
        </w:rPr>
        <w:t>万元，1—1</w:t>
      </w:r>
      <w:r>
        <w:rPr>
          <w:rFonts w:hint="eastAsia" w:ascii="仿宋" w:hAnsi="仿宋" w:eastAsia="仿宋"/>
          <w:color w:val="000000"/>
          <w:szCs w:val="32"/>
        </w:rPr>
        <w:t>2</w:t>
      </w:r>
      <w:r>
        <w:rPr>
          <w:rFonts w:hint="eastAsia" w:ascii="仿宋" w:hAnsi="仿宋" w:eastAsia="仿宋"/>
          <w:color w:val="000000"/>
          <w:szCs w:val="32"/>
          <w:lang w:val="zh-CN"/>
        </w:rPr>
        <w:t>月预算执行总体进度为</w:t>
      </w:r>
      <w:r>
        <w:rPr>
          <w:rFonts w:hint="eastAsia" w:ascii="仿宋" w:hAnsi="仿宋" w:eastAsia="仿宋"/>
          <w:color w:val="000000"/>
          <w:szCs w:val="32"/>
        </w:rPr>
        <w:t>100</w:t>
      </w:r>
      <w:r>
        <w:rPr>
          <w:rFonts w:hint="eastAsia" w:ascii="仿宋" w:hAnsi="仿宋" w:eastAsia="仿宋"/>
          <w:color w:val="000000"/>
          <w:szCs w:val="32"/>
          <w:lang w:val="zh-CN"/>
        </w:rPr>
        <w:t>%，其中：预算结余率大于</w:t>
      </w:r>
      <w:r>
        <w:rPr>
          <w:rFonts w:hint="eastAsia" w:ascii="仿宋" w:hAnsi="仿宋" w:eastAsia="仿宋"/>
          <w:color w:val="000000"/>
          <w:szCs w:val="32"/>
        </w:rPr>
        <w:t>10%</w:t>
      </w:r>
      <w:r>
        <w:rPr>
          <w:rFonts w:hint="eastAsia" w:ascii="仿宋" w:hAnsi="仿宋" w:eastAsia="仿宋"/>
          <w:color w:val="000000"/>
          <w:szCs w:val="32"/>
          <w:lang w:val="zh-CN"/>
        </w:rPr>
        <w:t>的项目共计</w:t>
      </w:r>
      <w:r>
        <w:rPr>
          <w:rFonts w:hint="eastAsia" w:ascii="仿宋" w:hAnsi="仿宋" w:eastAsia="仿宋"/>
          <w:color w:val="000000"/>
          <w:szCs w:val="32"/>
        </w:rPr>
        <w:t>0</w:t>
      </w:r>
      <w:r>
        <w:rPr>
          <w:rFonts w:hint="eastAsia" w:ascii="仿宋" w:hAnsi="仿宋" w:eastAsia="仿宋"/>
          <w:color w:val="000000"/>
          <w:szCs w:val="32"/>
          <w:lang w:val="zh-CN"/>
        </w:rPr>
        <w:t>个。</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lang w:val="zh-CN"/>
        </w:rPr>
      </w:pPr>
      <w:r>
        <w:rPr>
          <w:rFonts w:hint="eastAsia" w:ascii="仿宋" w:hAnsi="仿宋" w:eastAsia="仿宋"/>
          <w:color w:val="000000"/>
          <w:szCs w:val="32"/>
        </w:rPr>
        <w:t>阶段（一次性）项目绩效分析。</w:t>
      </w:r>
      <w:r>
        <w:rPr>
          <w:rFonts w:hint="eastAsia" w:ascii="仿宋" w:hAnsi="仿宋" w:eastAsia="仿宋"/>
          <w:color w:val="000000"/>
          <w:szCs w:val="32"/>
          <w:lang w:val="zh-CN"/>
        </w:rPr>
        <w:t>该类项目总数</w:t>
      </w:r>
      <w:r>
        <w:rPr>
          <w:rFonts w:hint="eastAsia" w:ascii="仿宋" w:hAnsi="仿宋" w:eastAsia="仿宋"/>
          <w:color w:val="000000"/>
          <w:szCs w:val="32"/>
          <w:lang w:val="en-US" w:eastAsia="zh-CN"/>
        </w:rPr>
        <w:t>7</w:t>
      </w:r>
      <w:r>
        <w:rPr>
          <w:rFonts w:hint="eastAsia" w:ascii="仿宋" w:hAnsi="仿宋" w:eastAsia="仿宋"/>
          <w:color w:val="000000"/>
          <w:szCs w:val="32"/>
          <w:lang w:val="zh-CN"/>
        </w:rPr>
        <w:t>个，涉及预算总金额</w:t>
      </w:r>
      <w:r>
        <w:rPr>
          <w:rFonts w:hint="eastAsia" w:ascii="仿宋" w:hAnsi="仿宋" w:eastAsia="仿宋"/>
          <w:color w:val="000000"/>
          <w:szCs w:val="32"/>
          <w:lang w:val="en-US" w:eastAsia="zh-CN"/>
        </w:rPr>
        <w:t>752.74</w:t>
      </w:r>
      <w:r>
        <w:rPr>
          <w:rFonts w:hint="eastAsia" w:ascii="仿宋" w:hAnsi="仿宋" w:eastAsia="仿宋"/>
          <w:color w:val="000000"/>
          <w:szCs w:val="32"/>
          <w:lang w:val="zh-CN"/>
        </w:rPr>
        <w:t>万元，1—1</w:t>
      </w:r>
      <w:r>
        <w:rPr>
          <w:rFonts w:hint="eastAsia" w:ascii="仿宋" w:hAnsi="仿宋" w:eastAsia="仿宋"/>
          <w:color w:val="000000"/>
          <w:szCs w:val="32"/>
        </w:rPr>
        <w:t>2</w:t>
      </w:r>
      <w:r>
        <w:rPr>
          <w:rFonts w:hint="eastAsia" w:ascii="仿宋" w:hAnsi="仿宋" w:eastAsia="仿宋"/>
          <w:color w:val="000000"/>
          <w:szCs w:val="32"/>
          <w:lang w:val="zh-CN"/>
        </w:rPr>
        <w:t>月预算执行总体进度为</w:t>
      </w:r>
      <w:r>
        <w:rPr>
          <w:rFonts w:hint="eastAsia" w:ascii="仿宋" w:hAnsi="仿宋" w:eastAsia="仿宋"/>
          <w:color w:val="000000"/>
          <w:szCs w:val="32"/>
        </w:rPr>
        <w:t>100</w:t>
      </w:r>
      <w:r>
        <w:rPr>
          <w:rFonts w:hint="eastAsia" w:ascii="仿宋" w:hAnsi="仿宋" w:eastAsia="仿宋"/>
          <w:color w:val="000000"/>
          <w:szCs w:val="32"/>
          <w:lang w:val="zh-CN"/>
        </w:rPr>
        <w:t>%，其中：预算结余率大于</w:t>
      </w:r>
      <w:r>
        <w:rPr>
          <w:rFonts w:hint="eastAsia" w:ascii="仿宋" w:hAnsi="仿宋" w:eastAsia="仿宋"/>
          <w:color w:val="000000"/>
          <w:szCs w:val="32"/>
        </w:rPr>
        <w:t>10%</w:t>
      </w:r>
      <w:r>
        <w:rPr>
          <w:rFonts w:hint="eastAsia" w:ascii="仿宋" w:hAnsi="仿宋" w:eastAsia="仿宋"/>
          <w:color w:val="000000"/>
          <w:szCs w:val="32"/>
          <w:lang w:val="zh-CN"/>
        </w:rPr>
        <w:t>的项目共计</w:t>
      </w:r>
      <w:r>
        <w:rPr>
          <w:rFonts w:hint="eastAsia" w:ascii="仿宋" w:hAnsi="仿宋" w:eastAsia="仿宋"/>
          <w:color w:val="000000"/>
          <w:szCs w:val="32"/>
        </w:rPr>
        <w:t>0</w:t>
      </w:r>
      <w:r>
        <w:rPr>
          <w:rFonts w:hint="eastAsia" w:ascii="仿宋" w:hAnsi="仿宋" w:eastAsia="仿宋"/>
          <w:color w:val="000000"/>
          <w:szCs w:val="32"/>
          <w:lang w:val="zh-CN"/>
        </w:rPr>
        <w:t>个。</w:t>
      </w:r>
    </w:p>
    <w:p>
      <w:pPr>
        <w:keepNext w:val="0"/>
        <w:keepLines w:val="0"/>
        <w:pageBreakBefore w:val="0"/>
        <w:kinsoku/>
        <w:wordWrap/>
        <w:overflowPunct/>
        <w:topLinePunct w:val="0"/>
        <w:autoSpaceDE/>
        <w:autoSpaceDN/>
        <w:bidi w:val="0"/>
        <w:spacing w:line="580" w:lineRule="exact"/>
        <w:ind w:firstLine="660" w:firstLineChars="200"/>
        <w:contextualSpacing/>
        <w:textAlignment w:val="auto"/>
        <w:outlineLvl w:val="9"/>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1.</w:t>
      </w:r>
      <w:r>
        <w:rPr>
          <w:rFonts w:hint="eastAsia" w:eastAsia="楷体_GB2312" w:cs="楷体_GB2312"/>
          <w:color w:val="000000"/>
          <w:kern w:val="0"/>
          <w:sz w:val="33"/>
          <w:szCs w:val="33"/>
          <w:shd w:val="clear" w:color="auto" w:fill="FFFFFF"/>
          <w:lang w:val="zh-CN"/>
        </w:rPr>
        <w:t>项目决策</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kern w:val="0"/>
          <w:sz w:val="33"/>
          <w:szCs w:val="33"/>
          <w:shd w:val="clear" w:color="auto" w:fill="FFFFFF"/>
        </w:rPr>
      </w:pPr>
      <w:r>
        <w:rPr>
          <w:rFonts w:hint="eastAsia" w:eastAsia="楷体_GB2312"/>
          <w:kern w:val="0"/>
          <w:sz w:val="33"/>
          <w:szCs w:val="33"/>
          <w:shd w:val="clear" w:color="auto" w:fill="FFFFFF"/>
        </w:rPr>
        <w:t>（1）决策程序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根据事前绩效评估管理相关规定，对“年度预算100万元以上的新增项目，年度预算增幅达到30%或增加金额100万元以上的延续性项目”开展事前绩效评估。2024年本单位应开展部门预算阶段项目（含一次性项目）总数</w:t>
      </w:r>
      <w:r>
        <w:rPr>
          <w:rFonts w:hint="eastAsia" w:ascii="仿宋" w:hAnsi="仿宋" w:eastAsia="仿宋"/>
          <w:color w:val="000000"/>
          <w:szCs w:val="32"/>
          <w:lang w:val="en-US" w:eastAsia="zh-CN"/>
        </w:rPr>
        <w:t>13</w:t>
      </w:r>
      <w:r>
        <w:rPr>
          <w:rFonts w:hint="eastAsia" w:ascii="仿宋" w:hAnsi="仿宋" w:eastAsia="仿宋"/>
          <w:color w:val="000000"/>
          <w:szCs w:val="32"/>
        </w:rPr>
        <w:t>个、实际开展部门预算阶段项目（含一次性项目）</w:t>
      </w:r>
      <w:r>
        <w:rPr>
          <w:rFonts w:hint="eastAsia" w:ascii="仿宋" w:hAnsi="仿宋" w:eastAsia="仿宋"/>
          <w:color w:val="000000"/>
          <w:szCs w:val="32"/>
          <w:lang w:val="en-US" w:eastAsia="zh-CN"/>
        </w:rPr>
        <w:t>13</w:t>
      </w:r>
      <w:r>
        <w:rPr>
          <w:rFonts w:hint="eastAsia" w:ascii="仿宋" w:hAnsi="仿宋" w:eastAsia="仿宋"/>
          <w:color w:val="000000"/>
          <w:szCs w:val="32"/>
        </w:rPr>
        <w:t>个，开展比例100%。根据《部门整体支出绩效自评打分表》的评分说明本项指标权重4分、得分4分。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（2）目标设置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根据《中共遂宁市委办公室遂宁市人民政府办公室印发(关于深入实施预算绩效管理的工作方案〉的通知》(遂委办〔2022〕41号)，2024年本单位不存在绩效目标与计划期内的任务量、预算安排不相匹配的部门预算阶段项目（含一次性项目）的项目。根据《部门整体支出绩效自评打分表》的评分说明本项指标权重4分、得分4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（3）项目入库</w:t>
      </w:r>
    </w:p>
    <w:p>
      <w:pPr>
        <w:pStyle w:val="2"/>
        <w:keepNext w:val="0"/>
        <w:keepLines w:val="0"/>
        <w:pageBreakBefore w:val="0"/>
        <w:kinsoku/>
        <w:wordWrap/>
        <w:overflowPunct/>
        <w:topLinePunct w:val="0"/>
        <w:autoSpaceDE/>
        <w:autoSpaceDN/>
        <w:bidi w:val="0"/>
        <w:spacing w:line="580" w:lineRule="exact"/>
        <w:ind w:firstLine="640"/>
        <w:textAlignment w:val="auto"/>
        <w:outlineLvl w:val="9"/>
        <w:rPr>
          <w:rFonts w:hint="eastAsia" w:ascii="仿宋" w:hAnsi="仿宋" w:eastAsia="仿宋" w:cs="Times New Roman"/>
          <w:color w:val="000000"/>
          <w:kern w:val="2"/>
          <w:sz w:val="32"/>
          <w:szCs w:val="32"/>
          <w:lang w:val="zh-CN" w:eastAsia="zh-CN" w:bidi="ar-SA"/>
        </w:rPr>
      </w:pPr>
      <w:r>
        <w:rPr>
          <w:rFonts w:hint="eastAsia" w:ascii="仿宋" w:hAnsi="仿宋" w:eastAsia="仿宋" w:cs="Times New Roman"/>
          <w:color w:val="000000"/>
          <w:kern w:val="2"/>
          <w:sz w:val="32"/>
          <w:szCs w:val="32"/>
          <w:lang w:val="en-US" w:eastAsia="zh-CN" w:bidi="ar-SA"/>
        </w:rPr>
        <w:t>根据遂宁市财政局《关于编制部门2024-2026年支出规划和2024年部门预算的通知》（遂财预〔2023〕17号），2024年部门预算项目要求入库时间为2023年7月30日之前。根据一体化系统导出项目目录明细数据。不存在规定时间未入财政库部门预算阶段项目（含一次性项目），项目入库及时率100%。根据《部门整体支出绩效自评打分表》的评分说明本项指标权重4分、得分4分。</w:t>
      </w:r>
    </w:p>
    <w:p>
      <w:pPr>
        <w:keepNext w:val="0"/>
        <w:keepLines w:val="0"/>
        <w:pageBreakBefore w:val="0"/>
        <w:kinsoku/>
        <w:wordWrap/>
        <w:overflowPunct/>
        <w:topLinePunct w:val="0"/>
        <w:autoSpaceDE/>
        <w:autoSpaceDN/>
        <w:bidi w:val="0"/>
        <w:spacing w:line="580" w:lineRule="exact"/>
        <w:ind w:firstLine="660" w:firstLineChars="200"/>
        <w:contextualSpacing/>
        <w:textAlignment w:val="auto"/>
        <w:outlineLvl w:val="9"/>
        <w:rPr>
          <w:rFonts w:eastAsia="楷体_GB2312" w:cs="楷体_GB2312"/>
          <w:color w:val="000000"/>
          <w:kern w:val="0"/>
          <w:sz w:val="33"/>
          <w:szCs w:val="33"/>
          <w:shd w:val="clear" w:color="auto" w:fill="FFFFFF"/>
          <w:lang w:val="zh-CN"/>
        </w:rPr>
      </w:pPr>
      <w:r>
        <w:rPr>
          <w:rFonts w:hint="eastAsia" w:eastAsia="楷体_GB2312" w:cs="楷体_GB2312"/>
          <w:color w:val="000000"/>
          <w:kern w:val="0"/>
          <w:sz w:val="33"/>
          <w:szCs w:val="33"/>
          <w:shd w:val="clear" w:color="auto" w:fill="FFFFFF"/>
        </w:rPr>
        <w:t>2.项目执行</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（1）执行同向</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2024年本单位预算阶段项目（含一次性项目）总数</w:t>
      </w:r>
      <w:r>
        <w:rPr>
          <w:rFonts w:hint="eastAsia" w:ascii="仿宋" w:hAnsi="仿宋" w:eastAsia="仿宋"/>
          <w:color w:val="000000"/>
          <w:szCs w:val="32"/>
          <w:lang w:val="en-US" w:eastAsia="zh-CN"/>
        </w:rPr>
        <w:t>13</w:t>
      </w:r>
      <w:r>
        <w:rPr>
          <w:rFonts w:hint="eastAsia" w:ascii="仿宋" w:hAnsi="仿宋" w:eastAsia="仿宋"/>
          <w:color w:val="000000"/>
          <w:szCs w:val="32"/>
        </w:rPr>
        <w:t>个。根据《部门整体支出绩效自评打分表》的评分说明本项指标权重5分、得分5分。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（2）项目调整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2024年度</w:t>
      </w:r>
      <w:r>
        <w:rPr>
          <w:rFonts w:hint="eastAsia" w:ascii="仿宋" w:hAnsi="仿宋" w:eastAsia="仿宋"/>
          <w:color w:val="000000"/>
          <w:szCs w:val="32"/>
          <w:lang w:val="en-US" w:eastAsia="zh-CN"/>
        </w:rPr>
        <w:t>市纪委</w:t>
      </w:r>
      <w:r>
        <w:rPr>
          <w:rFonts w:hint="eastAsia" w:ascii="仿宋" w:hAnsi="仿宋" w:eastAsia="仿宋"/>
          <w:color w:val="000000"/>
          <w:szCs w:val="32"/>
        </w:rPr>
        <w:t>不涉及应采取未采取收回预算、调整目标等处置措施的部门预算阶段项目（含一次性项目）。根据《部门整体支出绩效自评打分表》的评分说明本项指标权重6分、得分6分。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（3）执行结果</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2024年本单位共实施</w:t>
      </w:r>
      <w:r>
        <w:rPr>
          <w:rFonts w:hint="eastAsia" w:ascii="仿宋" w:hAnsi="仿宋" w:eastAsia="仿宋"/>
          <w:color w:val="000000"/>
          <w:szCs w:val="32"/>
          <w:lang w:val="en-US" w:eastAsia="zh-CN"/>
        </w:rPr>
        <w:t>13</w:t>
      </w:r>
      <w:r>
        <w:rPr>
          <w:rFonts w:hint="eastAsia" w:ascii="仿宋" w:hAnsi="仿宋" w:eastAsia="仿宋"/>
          <w:color w:val="000000"/>
          <w:szCs w:val="32"/>
        </w:rPr>
        <w:t>个项目，其中：常年项目</w:t>
      </w:r>
      <w:r>
        <w:rPr>
          <w:rFonts w:hint="eastAsia" w:ascii="仿宋" w:hAnsi="仿宋" w:eastAsia="仿宋"/>
          <w:color w:val="000000"/>
          <w:szCs w:val="32"/>
          <w:lang w:val="en-US" w:eastAsia="zh-CN"/>
        </w:rPr>
        <w:t>6</w:t>
      </w:r>
      <w:r>
        <w:rPr>
          <w:rFonts w:hint="eastAsia" w:ascii="仿宋" w:hAnsi="仿宋" w:eastAsia="仿宋"/>
          <w:color w:val="000000"/>
          <w:szCs w:val="32"/>
        </w:rPr>
        <w:t>个，一次性项目和阶段项目</w:t>
      </w:r>
      <w:r>
        <w:rPr>
          <w:rFonts w:hint="eastAsia" w:ascii="仿宋" w:hAnsi="仿宋" w:eastAsia="仿宋"/>
          <w:color w:val="000000"/>
          <w:szCs w:val="32"/>
          <w:lang w:val="en-US" w:eastAsia="zh-CN"/>
        </w:rPr>
        <w:t>7</w:t>
      </w:r>
      <w:r>
        <w:rPr>
          <w:rFonts w:hint="eastAsia" w:ascii="仿宋" w:hAnsi="仿宋" w:eastAsia="仿宋"/>
          <w:color w:val="000000"/>
          <w:szCs w:val="32"/>
        </w:rPr>
        <w:t>个。根据一体化系统预算可执行情况表，共0个常年项目预算结余率小于10%，0个常年项目预算结余率大于10%；共0个一次性项目和阶段项目预算结余率小于10%，0个一次性项目和阶段年项目预算结余率大于10%。</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lang w:val="zh-CN"/>
        </w:rPr>
      </w:pPr>
      <w:r>
        <w:rPr>
          <w:rFonts w:hint="eastAsia" w:ascii="仿宋" w:hAnsi="仿宋" w:eastAsia="仿宋"/>
          <w:color w:val="000000"/>
          <w:szCs w:val="32"/>
        </w:rPr>
        <w:t>根据《部门整体支出绩效自评打分表》的评分说明本项指标权重4分、得分4分。</w:t>
      </w:r>
    </w:p>
    <w:p>
      <w:pPr>
        <w:keepNext w:val="0"/>
        <w:keepLines w:val="0"/>
        <w:pageBreakBefore w:val="0"/>
        <w:kinsoku/>
        <w:wordWrap/>
        <w:overflowPunct/>
        <w:topLinePunct w:val="0"/>
        <w:autoSpaceDE/>
        <w:autoSpaceDN/>
        <w:bidi w:val="0"/>
        <w:spacing w:line="580" w:lineRule="exact"/>
        <w:ind w:firstLine="660" w:firstLineChars="200"/>
        <w:contextualSpacing/>
        <w:textAlignment w:val="auto"/>
        <w:outlineLvl w:val="9"/>
        <w:rPr>
          <w:sz w:val="33"/>
          <w:szCs w:val="33"/>
        </w:rPr>
      </w:pPr>
      <w:r>
        <w:rPr>
          <w:rFonts w:hint="eastAsia" w:eastAsia="楷体_GB2312" w:cs="楷体_GB2312"/>
          <w:color w:val="000000"/>
          <w:kern w:val="0"/>
          <w:sz w:val="33"/>
          <w:szCs w:val="33"/>
          <w:shd w:val="clear" w:color="auto" w:fill="FFFFFF"/>
        </w:rPr>
        <w:t>3.</w:t>
      </w:r>
      <w:r>
        <w:rPr>
          <w:rFonts w:hint="eastAsia" w:eastAsia="楷体_GB2312" w:cs="楷体_GB2312"/>
          <w:color w:val="000000"/>
          <w:kern w:val="0"/>
          <w:sz w:val="33"/>
          <w:szCs w:val="33"/>
          <w:shd w:val="clear" w:color="auto" w:fill="FFFFFF"/>
          <w:lang w:val="zh-CN"/>
        </w:rPr>
        <w:t>目标实现</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（1）目标完成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2024年本单位共实施</w:t>
      </w:r>
      <w:r>
        <w:rPr>
          <w:rFonts w:hint="eastAsia" w:ascii="仿宋" w:hAnsi="仿宋" w:eastAsia="仿宋"/>
          <w:color w:val="000000"/>
          <w:szCs w:val="32"/>
          <w:lang w:val="en-US" w:eastAsia="zh-CN"/>
        </w:rPr>
        <w:t>13</w:t>
      </w:r>
      <w:r>
        <w:rPr>
          <w:rFonts w:hint="eastAsia" w:ascii="仿宋" w:hAnsi="仿宋" w:eastAsia="仿宋"/>
          <w:color w:val="000000"/>
          <w:szCs w:val="32"/>
        </w:rPr>
        <w:t>个项目。</w:t>
      </w:r>
      <w:r>
        <w:rPr>
          <w:rFonts w:hint="eastAsia" w:ascii="仿宋" w:hAnsi="仿宋" w:eastAsia="仿宋"/>
          <w:color w:val="000000"/>
          <w:szCs w:val="32"/>
          <w:lang w:val="en-US" w:eastAsia="zh-CN"/>
        </w:rPr>
        <w:t>13</w:t>
      </w:r>
      <w:r>
        <w:rPr>
          <w:rFonts w:hint="eastAsia" w:ascii="仿宋" w:hAnsi="仿宋" w:eastAsia="仿宋"/>
          <w:color w:val="000000"/>
          <w:szCs w:val="32"/>
        </w:rPr>
        <w:t>个项目共有</w:t>
      </w:r>
      <w:r>
        <w:rPr>
          <w:rFonts w:hint="eastAsia" w:ascii="仿宋" w:hAnsi="仿宋" w:eastAsia="仿宋"/>
          <w:color w:val="000000"/>
          <w:szCs w:val="32"/>
          <w:lang w:val="en-US" w:eastAsia="zh-CN"/>
        </w:rPr>
        <w:t>16</w:t>
      </w:r>
      <w:r>
        <w:rPr>
          <w:rFonts w:hint="eastAsia" w:ascii="仿宋" w:hAnsi="仿宋" w:eastAsia="仿宋"/>
          <w:color w:val="000000"/>
          <w:szCs w:val="32"/>
        </w:rPr>
        <w:t>条数量指标，</w:t>
      </w:r>
      <w:r>
        <w:rPr>
          <w:rFonts w:hint="eastAsia" w:ascii="仿宋" w:hAnsi="仿宋" w:eastAsia="仿宋"/>
          <w:color w:val="000000"/>
          <w:szCs w:val="32"/>
          <w:lang w:val="en-US" w:eastAsia="zh-CN"/>
        </w:rPr>
        <w:t>16</w:t>
      </w:r>
      <w:r>
        <w:rPr>
          <w:rFonts w:hint="eastAsia" w:ascii="仿宋" w:hAnsi="仿宋" w:eastAsia="仿宋"/>
          <w:color w:val="000000"/>
          <w:szCs w:val="32"/>
        </w:rPr>
        <w:t>条数量指标均完成目标值。根据《部门整体支出绩效自评打分表》的评分说明本项指标权重6分、得分6分。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（2）目标偏离</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202</w:t>
      </w:r>
      <w:r>
        <w:rPr>
          <w:rFonts w:hint="eastAsia" w:ascii="仿宋" w:hAnsi="仿宋" w:eastAsia="仿宋"/>
          <w:color w:val="000000"/>
          <w:szCs w:val="32"/>
          <w:lang w:val="en-US" w:eastAsia="zh-CN"/>
        </w:rPr>
        <w:t>4</w:t>
      </w:r>
      <w:bookmarkStart w:id="1" w:name="_GoBack"/>
      <w:bookmarkEnd w:id="1"/>
      <w:r>
        <w:rPr>
          <w:rFonts w:hint="eastAsia" w:ascii="仿宋" w:hAnsi="仿宋" w:eastAsia="仿宋"/>
          <w:color w:val="000000"/>
          <w:szCs w:val="32"/>
        </w:rPr>
        <w:t>年本单位共实施</w:t>
      </w:r>
      <w:r>
        <w:rPr>
          <w:rFonts w:hint="eastAsia" w:ascii="仿宋" w:hAnsi="仿宋" w:eastAsia="仿宋"/>
          <w:color w:val="000000"/>
          <w:szCs w:val="32"/>
          <w:lang w:val="en-US" w:eastAsia="zh-CN"/>
        </w:rPr>
        <w:t>13</w:t>
      </w:r>
      <w:r>
        <w:rPr>
          <w:rFonts w:hint="eastAsia" w:ascii="仿宋" w:hAnsi="仿宋" w:eastAsia="仿宋"/>
          <w:color w:val="000000"/>
          <w:szCs w:val="32"/>
        </w:rPr>
        <w:t>个项目。</w:t>
      </w:r>
      <w:r>
        <w:rPr>
          <w:rFonts w:hint="eastAsia" w:ascii="仿宋" w:hAnsi="仿宋" w:eastAsia="仿宋"/>
          <w:color w:val="000000"/>
          <w:szCs w:val="32"/>
          <w:lang w:val="en-US" w:eastAsia="zh-CN"/>
        </w:rPr>
        <w:t>13</w:t>
      </w:r>
      <w:r>
        <w:rPr>
          <w:rFonts w:hint="eastAsia" w:ascii="仿宋" w:hAnsi="仿宋" w:eastAsia="仿宋"/>
          <w:color w:val="000000"/>
          <w:szCs w:val="32"/>
        </w:rPr>
        <w:t>个项目共有</w:t>
      </w:r>
      <w:r>
        <w:rPr>
          <w:rFonts w:hint="eastAsia" w:ascii="仿宋" w:hAnsi="仿宋" w:eastAsia="仿宋"/>
          <w:color w:val="000000"/>
          <w:szCs w:val="32"/>
          <w:lang w:val="en-US" w:eastAsia="zh-CN"/>
        </w:rPr>
        <w:t>16</w:t>
      </w:r>
      <w:r>
        <w:rPr>
          <w:rFonts w:hint="eastAsia" w:ascii="仿宋" w:hAnsi="仿宋" w:eastAsia="仿宋"/>
          <w:color w:val="000000"/>
          <w:szCs w:val="32"/>
        </w:rPr>
        <w:t>条数量指标，2024年已完成预期指标值的数量指标共计</w:t>
      </w:r>
      <w:r>
        <w:rPr>
          <w:rFonts w:hint="eastAsia" w:ascii="仿宋" w:hAnsi="仿宋" w:eastAsia="仿宋"/>
          <w:color w:val="000000"/>
          <w:szCs w:val="32"/>
          <w:lang w:val="en-US" w:eastAsia="zh-CN"/>
        </w:rPr>
        <w:t>16</w:t>
      </w:r>
      <w:r>
        <w:rPr>
          <w:rFonts w:hint="eastAsia" w:ascii="仿宋" w:hAnsi="仿宋" w:eastAsia="仿宋"/>
          <w:color w:val="000000"/>
          <w:szCs w:val="32"/>
        </w:rPr>
        <w:t>条。根据《部门整体支出绩效自评打分表》的评分说明本项指标权重6分、得分6分。</w:t>
      </w:r>
    </w:p>
    <w:p>
      <w:pPr>
        <w:keepNext w:val="0"/>
        <w:keepLines w:val="0"/>
        <w:pageBreakBefore w:val="0"/>
        <w:kinsoku/>
        <w:wordWrap/>
        <w:overflowPunct/>
        <w:topLinePunct w:val="0"/>
        <w:autoSpaceDE/>
        <w:autoSpaceDN/>
        <w:bidi w:val="0"/>
        <w:spacing w:line="580" w:lineRule="exact"/>
        <w:ind w:firstLine="660" w:firstLineChars="200"/>
        <w:textAlignment w:val="auto"/>
        <w:outlineLvl w:val="9"/>
        <w:rPr>
          <w:rFonts w:eastAsia="楷体_GB2312"/>
          <w:color w:val="000000"/>
          <w:kern w:val="0"/>
          <w:sz w:val="33"/>
          <w:szCs w:val="33"/>
          <w:shd w:val="clear" w:color="auto" w:fill="FFFFFF"/>
        </w:rPr>
      </w:pPr>
      <w:r>
        <w:rPr>
          <w:rFonts w:hint="eastAsia" w:eastAsia="楷体_GB2312"/>
          <w:color w:val="000000"/>
          <w:kern w:val="0"/>
          <w:sz w:val="33"/>
          <w:szCs w:val="33"/>
          <w:shd w:val="clear" w:color="auto" w:fill="FFFFFF"/>
        </w:rPr>
        <w:t>（3）实现效果</w:t>
      </w:r>
    </w:p>
    <w:p>
      <w:pPr>
        <w:pStyle w:val="2"/>
        <w:keepNext w:val="0"/>
        <w:keepLines w:val="0"/>
        <w:pageBreakBefore w:val="0"/>
        <w:kinsoku/>
        <w:wordWrap/>
        <w:overflowPunct/>
        <w:topLinePunct w:val="0"/>
        <w:autoSpaceDE/>
        <w:autoSpaceDN/>
        <w:bidi w:val="0"/>
        <w:spacing w:line="580" w:lineRule="exact"/>
        <w:ind w:firstLine="640"/>
        <w:textAlignment w:val="auto"/>
        <w:outlineLvl w:val="9"/>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2024年本单位共实施13项目，13个项目共有13条效益指标，经核查13条效益指标完成。各类项目均实现其效果。根据《部门整体支出绩效自评打分表》的评分说明本项指标权重5分、得分5分。</w:t>
      </w:r>
    </w:p>
    <w:p>
      <w:pPr>
        <w:keepNext w:val="0"/>
        <w:keepLines w:val="0"/>
        <w:pageBreakBefore w:val="0"/>
        <w:widowControl/>
        <w:kinsoku/>
        <w:wordWrap/>
        <w:overflowPunct/>
        <w:topLinePunct w:val="0"/>
        <w:autoSpaceDE/>
        <w:autoSpaceDN/>
        <w:bidi w:val="0"/>
        <w:spacing w:line="580" w:lineRule="exact"/>
        <w:ind w:firstLine="663" w:firstLineChars="200"/>
        <w:contextualSpacing/>
        <w:textAlignment w:val="auto"/>
        <w:outlineLvl w:val="9"/>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w:t>
      </w:r>
      <w:r>
        <w:rPr>
          <w:rFonts w:hint="eastAsia" w:eastAsia="楷体_GB2312"/>
          <w:b/>
          <w:bCs/>
          <w:color w:val="000000"/>
          <w:kern w:val="0"/>
          <w:sz w:val="33"/>
          <w:szCs w:val="33"/>
          <w:shd w:val="clear" w:color="auto" w:fill="FFFFFF"/>
          <w:lang w:val="zh-CN"/>
        </w:rPr>
        <w:t>三</w:t>
      </w:r>
      <w:r>
        <w:rPr>
          <w:rFonts w:eastAsia="楷体_GB2312"/>
          <w:b/>
          <w:bCs/>
          <w:color w:val="000000"/>
          <w:kern w:val="0"/>
          <w:sz w:val="33"/>
          <w:szCs w:val="33"/>
          <w:shd w:val="clear" w:color="auto" w:fill="FFFFFF"/>
          <w:lang w:val="zh-CN"/>
        </w:rPr>
        <w:t>）重点领域绩效分析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lang w:val="en-US" w:eastAsia="zh-CN"/>
        </w:rPr>
        <w:t>市纪委</w:t>
      </w:r>
      <w:r>
        <w:rPr>
          <w:rFonts w:hint="eastAsia" w:ascii="仿宋" w:hAnsi="仿宋" w:eastAsia="仿宋"/>
          <w:color w:val="000000"/>
          <w:szCs w:val="32"/>
          <w:lang w:val="zh-CN"/>
        </w:rPr>
        <w:t>2024年度不涉及国有资本、行政事业性国有资产、债券资金、政府采购和政府购买服务等重点领域。</w:t>
      </w:r>
    </w:p>
    <w:p>
      <w:pPr>
        <w:keepNext w:val="0"/>
        <w:keepLines w:val="0"/>
        <w:pageBreakBefore w:val="0"/>
        <w:kinsoku/>
        <w:wordWrap/>
        <w:overflowPunct/>
        <w:topLinePunct w:val="0"/>
        <w:autoSpaceDE/>
        <w:autoSpaceDN/>
        <w:bidi w:val="0"/>
        <w:spacing w:line="580" w:lineRule="exact"/>
        <w:ind w:firstLine="663" w:firstLineChars="200"/>
        <w:textAlignment w:val="auto"/>
        <w:outlineLvl w:val="9"/>
        <w:rPr>
          <w:rFonts w:eastAsia="楷体_GB2312"/>
          <w:b/>
          <w:bCs/>
          <w:sz w:val="33"/>
          <w:szCs w:val="33"/>
          <w:lang w:val="zh-CN"/>
        </w:rPr>
      </w:pPr>
      <w:r>
        <w:rPr>
          <w:rFonts w:eastAsia="楷体_GB2312"/>
          <w:b/>
          <w:bCs/>
          <w:sz w:val="33"/>
          <w:szCs w:val="33"/>
          <w:lang w:val="zh-CN"/>
        </w:rPr>
        <w:t>（四）绩效结果应用情况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我单位严格按照要求在市财政部门批复二十日后，根据市财政要求按时在遂宁政务</w:t>
      </w:r>
      <w:r>
        <w:rPr>
          <w:rFonts w:hint="eastAsia" w:ascii="仿宋" w:hAnsi="仿宋" w:eastAsia="仿宋"/>
          <w:color w:val="000000"/>
          <w:szCs w:val="32"/>
        </w:rPr>
        <w:fldChar w:fldCharType="begin"/>
      </w:r>
      <w:r>
        <w:rPr>
          <w:rFonts w:hint="eastAsia" w:ascii="仿宋" w:hAnsi="仿宋" w:eastAsia="仿宋"/>
          <w:color w:val="000000"/>
          <w:szCs w:val="32"/>
        </w:rPr>
        <w:instrText xml:space="preserve"> HYPERLINK "https://snjsj.suining.gov.cn信息公开网上公示本绩效目标情况。同时部门整体支出绩效自评报告及其他按要求应公开的绩效信息均已信息公开。" </w:instrText>
      </w:r>
      <w:r>
        <w:rPr>
          <w:rFonts w:hint="eastAsia" w:ascii="仿宋" w:hAnsi="仿宋" w:eastAsia="仿宋"/>
          <w:color w:val="000000"/>
          <w:szCs w:val="32"/>
        </w:rPr>
        <w:fldChar w:fldCharType="separate"/>
      </w:r>
      <w:r>
        <w:rPr>
          <w:rFonts w:hint="eastAsia" w:ascii="仿宋" w:hAnsi="仿宋" w:eastAsia="仿宋"/>
          <w:color w:val="000000"/>
          <w:szCs w:val="32"/>
        </w:rPr>
        <w:t>信息公开网上公示本绩效目标情况。同时单位整体支出绩效自评报告及其他按要求应公开的绩效信息均已信息公开。</w:t>
      </w:r>
      <w:r>
        <w:rPr>
          <w:rFonts w:hint="eastAsia" w:ascii="仿宋" w:hAnsi="仿宋" w:eastAsia="仿宋"/>
          <w:color w:val="000000"/>
          <w:szCs w:val="32"/>
        </w:rPr>
        <w:fldChar w:fldCharType="end"/>
      </w:r>
    </w:p>
    <w:p>
      <w:pPr>
        <w:keepNext w:val="0"/>
        <w:keepLines w:val="0"/>
        <w:pageBreakBefore w:val="0"/>
        <w:widowControl/>
        <w:kinsoku/>
        <w:wordWrap/>
        <w:overflowPunct/>
        <w:topLinePunct w:val="0"/>
        <w:autoSpaceDE/>
        <w:autoSpaceDN/>
        <w:bidi w:val="0"/>
        <w:spacing w:line="580" w:lineRule="exact"/>
        <w:ind w:firstLine="660" w:firstLineChars="200"/>
        <w:contextualSpacing/>
        <w:textAlignment w:val="auto"/>
        <w:outlineLvl w:val="9"/>
        <w:rPr>
          <w:rFonts w:eastAsia="黑体"/>
          <w:color w:val="000000"/>
          <w:kern w:val="0"/>
          <w:sz w:val="33"/>
          <w:szCs w:val="33"/>
          <w:shd w:val="clear" w:color="auto" w:fill="FFFFFF"/>
        </w:rPr>
      </w:pPr>
      <w:r>
        <w:rPr>
          <w:rFonts w:eastAsia="黑体"/>
          <w:color w:val="000000"/>
          <w:kern w:val="0"/>
          <w:sz w:val="33"/>
          <w:szCs w:val="33"/>
          <w:shd w:val="clear" w:color="auto" w:fill="FFFFFF"/>
        </w:rPr>
        <w:t>四、评价结论及建议</w:t>
      </w:r>
    </w:p>
    <w:p>
      <w:pPr>
        <w:keepNext w:val="0"/>
        <w:keepLines w:val="0"/>
        <w:pageBreakBefore w:val="0"/>
        <w:kinsoku/>
        <w:wordWrap/>
        <w:overflowPunct/>
        <w:topLinePunct w:val="0"/>
        <w:autoSpaceDE/>
        <w:autoSpaceDN/>
        <w:bidi w:val="0"/>
        <w:spacing w:line="580" w:lineRule="exact"/>
        <w:ind w:firstLine="663" w:firstLineChars="200"/>
        <w:contextualSpacing/>
        <w:textAlignment w:val="auto"/>
        <w:outlineLvl w:val="9"/>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（一）评价结论</w:t>
      </w:r>
    </w:p>
    <w:p>
      <w:pPr>
        <w:keepNext w:val="0"/>
        <w:keepLines w:val="0"/>
        <w:pageBreakBefore w:val="0"/>
        <w:kinsoku/>
        <w:wordWrap/>
        <w:overflowPunct/>
        <w:topLinePunct w:val="0"/>
        <w:autoSpaceDE/>
        <w:autoSpaceDN/>
        <w:bidi w:val="0"/>
        <w:spacing w:line="580" w:lineRule="exact"/>
        <w:ind w:firstLine="640" w:firstLineChars="200"/>
        <w:contextualSpacing/>
        <w:textAlignment w:val="auto"/>
        <w:outlineLvl w:val="9"/>
        <w:rPr>
          <w:color w:val="000000"/>
          <w:kern w:val="0"/>
          <w:szCs w:val="32"/>
          <w:shd w:val="clear" w:color="auto" w:fill="FFFFFF"/>
        </w:rPr>
      </w:pPr>
      <w:r>
        <w:rPr>
          <w:rFonts w:hint="eastAsia" w:ascii="仿宋" w:hAnsi="仿宋" w:eastAsia="仿宋"/>
          <w:color w:val="000000"/>
          <w:szCs w:val="32"/>
        </w:rPr>
        <w:t>本单位2024年认真履行职能职责，部门整体预算管理规范、一般性支出控制良好，绩效管理工作完成率100%，采购管理规范，基本完成了各项目标任务。依照《部门整体支出绩效自评打分表》，从评价情况来看，我单位部门预算整体绩效总体合格，预算编制质量较高，绩效目标明确，预算执行及综合管理较好，总体得分</w:t>
      </w:r>
      <w:r>
        <w:rPr>
          <w:rFonts w:hint="eastAsia" w:ascii="仿宋" w:hAnsi="仿宋" w:eastAsia="仿宋"/>
          <w:color w:val="000000"/>
          <w:szCs w:val="32"/>
          <w:lang w:val="en-US" w:eastAsia="zh-CN"/>
        </w:rPr>
        <w:t>98.33</w:t>
      </w:r>
      <w:r>
        <w:rPr>
          <w:rFonts w:hint="eastAsia" w:ascii="仿宋" w:hAnsi="仿宋" w:eastAsia="仿宋"/>
          <w:color w:val="000000"/>
          <w:szCs w:val="32"/>
        </w:rPr>
        <w:t>分。</w:t>
      </w:r>
    </w:p>
    <w:p>
      <w:pPr>
        <w:keepNext w:val="0"/>
        <w:keepLines w:val="0"/>
        <w:pageBreakBefore w:val="0"/>
        <w:kinsoku/>
        <w:wordWrap/>
        <w:overflowPunct/>
        <w:topLinePunct w:val="0"/>
        <w:autoSpaceDE/>
        <w:autoSpaceDN/>
        <w:bidi w:val="0"/>
        <w:spacing w:line="580" w:lineRule="exact"/>
        <w:ind w:firstLine="663" w:firstLineChars="200"/>
        <w:contextualSpacing/>
        <w:textAlignment w:val="auto"/>
        <w:outlineLvl w:val="9"/>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单位年初预算偏差率较大，</w:t>
      </w:r>
      <w:r>
        <w:rPr>
          <w:rFonts w:hint="eastAsia" w:ascii="仿宋" w:hAnsi="仿宋" w:eastAsia="仿宋"/>
          <w:color w:val="000000"/>
          <w:szCs w:val="32"/>
          <w:lang w:val="en-US" w:eastAsia="zh-CN"/>
        </w:rPr>
        <w:t>最主要原因为纪检监察大案要案</w:t>
      </w:r>
      <w:r>
        <w:rPr>
          <w:rFonts w:hint="eastAsia" w:ascii="仿宋" w:hAnsi="仿宋" w:eastAsia="仿宋"/>
          <w:color w:val="000000"/>
          <w:szCs w:val="32"/>
        </w:rPr>
        <w:t>资金</w:t>
      </w:r>
      <w:r>
        <w:rPr>
          <w:rFonts w:hint="eastAsia" w:ascii="仿宋" w:hAnsi="仿宋" w:eastAsia="仿宋"/>
          <w:color w:val="000000"/>
          <w:szCs w:val="32"/>
          <w:lang w:val="en-US" w:eastAsia="zh-CN"/>
        </w:rPr>
        <w:t>追加部分未</w:t>
      </w:r>
      <w:r>
        <w:rPr>
          <w:rFonts w:hint="eastAsia" w:ascii="仿宋" w:hAnsi="仿宋" w:eastAsia="仿宋"/>
          <w:color w:val="000000"/>
          <w:szCs w:val="32"/>
        </w:rPr>
        <w:t>纳入</w:t>
      </w:r>
      <w:r>
        <w:rPr>
          <w:rFonts w:hint="eastAsia" w:ascii="仿宋" w:hAnsi="仿宋" w:eastAsia="仿宋"/>
          <w:color w:val="000000"/>
          <w:szCs w:val="32"/>
          <w:lang w:val="en-US" w:eastAsia="zh-CN"/>
        </w:rPr>
        <w:t>预算、新增电子数据调查室建设、走读式谈话场所信息化系统升级、纪检监察内网安全设备升级、集中整治群众身边不正之风和腐败问题专项经费</w:t>
      </w:r>
      <w:r>
        <w:rPr>
          <w:rFonts w:hint="eastAsia" w:ascii="仿宋" w:hAnsi="仿宋" w:eastAsia="仿宋"/>
          <w:color w:val="000000"/>
          <w:szCs w:val="32"/>
        </w:rPr>
        <w:t>。</w:t>
      </w:r>
    </w:p>
    <w:p>
      <w:pPr>
        <w:keepNext w:val="0"/>
        <w:keepLines w:val="0"/>
        <w:pageBreakBefore w:val="0"/>
        <w:kinsoku/>
        <w:wordWrap/>
        <w:overflowPunct/>
        <w:topLinePunct w:val="0"/>
        <w:autoSpaceDE/>
        <w:autoSpaceDN/>
        <w:bidi w:val="0"/>
        <w:spacing w:line="580" w:lineRule="exact"/>
        <w:ind w:firstLine="663" w:firstLineChars="200"/>
        <w:contextualSpacing/>
        <w:textAlignment w:val="auto"/>
        <w:outlineLvl w:val="9"/>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lang w:val="zh-CN"/>
        </w:rPr>
        <w:t>强化预算编制，并严格遵守《预算法》，各项经费收入全部纳入预算管理，提高预算精准度，追加调整预算严格执行相应的审批程序，预算内各项资金的来源、使用科目的设置规范化。</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 w:hAnsi="仿宋" w:eastAsia="仿宋"/>
          <w:color w:val="000000"/>
          <w:szCs w:val="32"/>
        </w:rPr>
      </w:pPr>
      <w:r>
        <w:rPr>
          <w:rFonts w:hint="eastAsia" w:ascii="仿宋" w:hAnsi="仿宋" w:eastAsia="仿宋"/>
          <w:color w:val="000000"/>
          <w:szCs w:val="32"/>
        </w:rPr>
        <w:t>附表：部门整体支出绩效目标完成情况自评表</w:t>
      </w:r>
    </w:p>
    <w:p>
      <w:pPr>
        <w:widowControl/>
        <w:adjustRightInd w:val="0"/>
        <w:snapToGrid w:val="0"/>
        <w:spacing w:line="360" w:lineRule="auto"/>
        <w:ind w:firstLine="640" w:firstLineChars="200"/>
        <w:contextualSpacing/>
        <w:jc w:val="left"/>
        <w:rPr>
          <w:rFonts w:hint="eastAsia" w:ascii="仿宋" w:hAnsi="仿宋" w:eastAsia="仿宋"/>
          <w:color w:val="000000"/>
          <w:szCs w:val="32"/>
        </w:rPr>
      </w:pPr>
    </w:p>
    <w:p>
      <w:pPr>
        <w:widowControl/>
        <w:adjustRightInd w:val="0"/>
        <w:snapToGrid w:val="0"/>
        <w:spacing w:line="360" w:lineRule="auto"/>
        <w:ind w:firstLine="640" w:firstLineChars="200"/>
        <w:contextualSpacing/>
        <w:jc w:val="left"/>
        <w:rPr>
          <w:rFonts w:hint="eastAsia" w:ascii="仿宋" w:hAnsi="仿宋" w:eastAsia="仿宋"/>
          <w:color w:val="000000"/>
          <w:szCs w:val="32"/>
        </w:rPr>
      </w:pPr>
    </w:p>
    <w:p>
      <w:pPr>
        <w:widowControl/>
        <w:adjustRightInd w:val="0"/>
        <w:snapToGrid w:val="0"/>
        <w:spacing w:line="360" w:lineRule="auto"/>
        <w:ind w:firstLine="3840" w:firstLineChars="1200"/>
        <w:contextualSpacing/>
        <w:jc w:val="left"/>
        <w:rPr>
          <w:rFonts w:hint="eastAsia" w:ascii="仿宋" w:hAnsi="仿宋" w:eastAsia="仿宋"/>
          <w:color w:val="000000"/>
          <w:szCs w:val="32"/>
          <w:lang w:val="en-US" w:eastAsia="zh-CN"/>
        </w:rPr>
      </w:pPr>
      <w:r>
        <w:rPr>
          <w:rFonts w:hint="eastAsia" w:ascii="仿宋" w:hAnsi="仿宋" w:eastAsia="仿宋"/>
          <w:color w:val="000000"/>
          <w:szCs w:val="32"/>
          <w:lang w:val="en-US" w:eastAsia="zh-CN"/>
        </w:rPr>
        <w:t>中国共产党遂宁市纪律检查委员会</w:t>
      </w:r>
    </w:p>
    <w:p>
      <w:pPr>
        <w:widowControl/>
        <w:adjustRightInd w:val="0"/>
        <w:snapToGrid w:val="0"/>
        <w:spacing w:line="360" w:lineRule="auto"/>
        <w:ind w:firstLine="5280" w:firstLineChars="1600"/>
        <w:contextualSpacing/>
        <w:jc w:val="left"/>
      </w:pPr>
      <w:r>
        <w:rPr>
          <w:rFonts w:hint="eastAsia"/>
          <w:color w:val="000000"/>
          <w:kern w:val="0"/>
          <w:sz w:val="33"/>
          <w:szCs w:val="33"/>
          <w:shd w:val="clear" w:color="auto" w:fill="FFFFFF"/>
          <w:lang w:val="en-US" w:eastAsia="zh-CN"/>
        </w:rPr>
        <w:t>2025年6月3日</w:t>
      </w:r>
      <w:r>
        <w:rPr>
          <w:color w:val="000000"/>
          <w:kern w:val="0"/>
          <w:sz w:val="33"/>
          <w:szCs w:val="33"/>
          <w:shd w:val="clear" w:color="auto" w:fill="FFFFFF"/>
        </w:rPr>
        <w:br w:type="page"/>
      </w:r>
    </w:p>
    <w:p>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部门整体支出绩效目标表</w:t>
      </w:r>
    </w:p>
    <w:tbl>
      <w:tblPr>
        <w:tblStyle w:val="16"/>
        <w:tblW w:w="92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4"/>
        <w:gridCol w:w="1150"/>
        <w:gridCol w:w="950"/>
        <w:gridCol w:w="1684"/>
        <w:gridCol w:w="900"/>
        <w:gridCol w:w="1250"/>
        <w:gridCol w:w="1033"/>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9244"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244"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3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中国共产党遂宁市纪律检查委员会部门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jc w:val="center"/>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4803.83</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4803.83</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jc w:val="center"/>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负责党的纪律检查工作，依照党的章程和其他党内法规履行监督、执纪、问责职责、负责全市监察工作，负责组织协调全面从严治党、党风廉政建设和反腐败宣传教育工作，依照法律规定履行监督、调查、处置职责，负责综合分析全面从严治党、党风廉政建设和反腐败工作情况根据干部管理权限,负责纪检监察系统领导班子建设、干部队伍建设和组织建设的综合规划、政策研究、制度建设和业务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全面从严治党</w:t>
            </w:r>
          </w:p>
        </w:tc>
        <w:tc>
          <w:tcPr>
            <w:tcW w:w="5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党要管党，全面从严治党，以党的政治建设为统领，忠实履行党章和宪法赋予的职责，深化监察体制改革，聚集政治生态建设，聚焦正风肃纪，聚焦惩贪治腐，强化监督执纪问责和监督调处置，不断取得全面从严治党更大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线索处置率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人均要案数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大力整治侵害群众利益的突出问题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聚焦惩治腐败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年12月底前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突出抓好党的纪律建设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把党的政治建设摆在首位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查处群众身边的腐败案件率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bl>
    <w:p>
      <w:pPr>
        <w:pStyle w:val="10"/>
        <w:ind w:left="0" w:leftChars="0" w:firstLine="0" w:firstLineChars="0"/>
        <w:rPr>
          <w:rFonts w:ascii="Times New Roman" w:eastAsia="黑体"/>
          <w:sz w:val="24"/>
          <w:szCs w:val="24"/>
        </w:rPr>
      </w:pPr>
    </w:p>
    <w:sectPr>
      <w:headerReference r:id="rId3" w:type="default"/>
      <w:footerReference r:id="rId4" w:type="default"/>
      <w:pgSz w:w="11906" w:h="16838"/>
      <w:pgMar w:top="1984" w:right="1474" w:bottom="397" w:left="1587" w:header="567" w:footer="1417" w:gutter="0"/>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C4960B-0399-4162-A804-7A9DBAB8F5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00FAE31-F7AD-470B-B8C2-C2B88DE169CE}"/>
  </w:font>
  <w:font w:name="仿宋">
    <w:panose1 w:val="02010609060101010101"/>
    <w:charset w:val="86"/>
    <w:family w:val="modern"/>
    <w:pitch w:val="default"/>
    <w:sig w:usb0="800002BF" w:usb1="38CF7CFA" w:usb2="00000016" w:usb3="00000000" w:csb0="00040001" w:csb1="00000000"/>
    <w:embedRegular r:id="rId3" w:fontKey="{92CC129F-2E64-442E-9AAF-5C5C70B4B226}"/>
  </w:font>
  <w:font w:name="??">
    <w:altName w:val="Segoe Print"/>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embedRegular r:id="rId4" w:fontKey="{675E8A54-726D-45D9-A776-9BBEE9C82997}"/>
  </w:font>
  <w:font w:name="方正仿宋简体">
    <w:panose1 w:val="02010601030101010101"/>
    <w:charset w:val="86"/>
    <w:family w:val="auto"/>
    <w:pitch w:val="default"/>
    <w:sig w:usb0="00000001" w:usb1="080E0000" w:usb2="00000000" w:usb3="00000000" w:csb0="00040000" w:csb1="00000000"/>
    <w:embedRegular r:id="rId5" w:fontKey="{A1A7C00B-F1E3-4B0A-AAD2-CC991A736748}"/>
  </w:font>
  <w:font w:name="楷体_GB2312">
    <w:panose1 w:val="02010609030101010101"/>
    <w:charset w:val="86"/>
    <w:family w:val="modern"/>
    <w:pitch w:val="default"/>
    <w:sig w:usb0="00000001" w:usb1="080E0000" w:usb2="00000000" w:usb3="00000000" w:csb0="00040000" w:csb1="00000000"/>
    <w:embedRegular r:id="rId6" w:fontKey="{9E14C05A-2667-4AC7-B6C6-B785BDCA8A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FA420"/>
    <w:multiLevelType w:val="singleLevel"/>
    <w:tmpl w:val="BE1FA420"/>
    <w:lvl w:ilvl="0" w:tentative="0">
      <w:start w:val="2"/>
      <w:numFmt w:val="decimal"/>
      <w:suff w:val="nothing"/>
      <w:lvlText w:val="（%1）"/>
      <w:lvlJc w:val="left"/>
    </w:lvl>
  </w:abstractNum>
  <w:abstractNum w:abstractNumId="1">
    <w:nsid w:val="77C60C2A"/>
    <w:multiLevelType w:val="singleLevel"/>
    <w:tmpl w:val="77C60C2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16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26E56"/>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40F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96786"/>
    <w:rsid w:val="00FA006C"/>
    <w:rsid w:val="00FA190E"/>
    <w:rsid w:val="00FA288B"/>
    <w:rsid w:val="00FA2997"/>
    <w:rsid w:val="00FA2C71"/>
    <w:rsid w:val="00FB3345"/>
    <w:rsid w:val="00FD0228"/>
    <w:rsid w:val="00FD3BB7"/>
    <w:rsid w:val="00FE0D93"/>
    <w:rsid w:val="00FE13C4"/>
    <w:rsid w:val="00FF2572"/>
    <w:rsid w:val="00FF32AD"/>
    <w:rsid w:val="02197887"/>
    <w:rsid w:val="07D80803"/>
    <w:rsid w:val="08EC41AE"/>
    <w:rsid w:val="09EE6E4D"/>
    <w:rsid w:val="0AC4464F"/>
    <w:rsid w:val="0D107C13"/>
    <w:rsid w:val="0DC31556"/>
    <w:rsid w:val="0DE454AF"/>
    <w:rsid w:val="0DF4116D"/>
    <w:rsid w:val="0FD34063"/>
    <w:rsid w:val="0FD62CCC"/>
    <w:rsid w:val="18DA283C"/>
    <w:rsid w:val="1A3D6143"/>
    <w:rsid w:val="1C013801"/>
    <w:rsid w:val="1DFD8D3B"/>
    <w:rsid w:val="1EEB7A66"/>
    <w:rsid w:val="1FB79DC9"/>
    <w:rsid w:val="1FBFC3F2"/>
    <w:rsid w:val="1FFFE033"/>
    <w:rsid w:val="24617E93"/>
    <w:rsid w:val="261848CF"/>
    <w:rsid w:val="261E3F86"/>
    <w:rsid w:val="27F352A6"/>
    <w:rsid w:val="2C3D7406"/>
    <w:rsid w:val="2C636A18"/>
    <w:rsid w:val="2D527252"/>
    <w:rsid w:val="2DDC1740"/>
    <w:rsid w:val="2EAE55F2"/>
    <w:rsid w:val="2EDF4302"/>
    <w:rsid w:val="2EFE1A04"/>
    <w:rsid w:val="32694CAA"/>
    <w:rsid w:val="32895C1F"/>
    <w:rsid w:val="32C17C46"/>
    <w:rsid w:val="35BBF80F"/>
    <w:rsid w:val="39007C46"/>
    <w:rsid w:val="3B736F08"/>
    <w:rsid w:val="3BE3D531"/>
    <w:rsid w:val="3D270C0D"/>
    <w:rsid w:val="3D431A40"/>
    <w:rsid w:val="3DD9125A"/>
    <w:rsid w:val="3DFC0093"/>
    <w:rsid w:val="3EFF42CA"/>
    <w:rsid w:val="3FD5AF3D"/>
    <w:rsid w:val="3FF773F1"/>
    <w:rsid w:val="3FFED8BE"/>
    <w:rsid w:val="3FFF43BB"/>
    <w:rsid w:val="433DCF8E"/>
    <w:rsid w:val="44E94E57"/>
    <w:rsid w:val="45885308"/>
    <w:rsid w:val="45FF973D"/>
    <w:rsid w:val="47550EBA"/>
    <w:rsid w:val="494E18DB"/>
    <w:rsid w:val="4A3B5101"/>
    <w:rsid w:val="4BF7E09D"/>
    <w:rsid w:val="4EBA70D9"/>
    <w:rsid w:val="5078332F"/>
    <w:rsid w:val="514868D8"/>
    <w:rsid w:val="51E94020"/>
    <w:rsid w:val="53BB74FC"/>
    <w:rsid w:val="55FDDF92"/>
    <w:rsid w:val="55FFBC03"/>
    <w:rsid w:val="56CDA72E"/>
    <w:rsid w:val="576F5916"/>
    <w:rsid w:val="577FDAE2"/>
    <w:rsid w:val="57C032D3"/>
    <w:rsid w:val="57FBE2C7"/>
    <w:rsid w:val="58D47500"/>
    <w:rsid w:val="5B335734"/>
    <w:rsid w:val="5B7F322F"/>
    <w:rsid w:val="5B962018"/>
    <w:rsid w:val="5BCAB023"/>
    <w:rsid w:val="5DDA9B94"/>
    <w:rsid w:val="5EAB810D"/>
    <w:rsid w:val="5EFF9DA6"/>
    <w:rsid w:val="5F7751B9"/>
    <w:rsid w:val="5F9F7232"/>
    <w:rsid w:val="5F9F9588"/>
    <w:rsid w:val="5FBD32D2"/>
    <w:rsid w:val="5FD450B0"/>
    <w:rsid w:val="5FEF60CD"/>
    <w:rsid w:val="5FFB203D"/>
    <w:rsid w:val="5FFB8CF9"/>
    <w:rsid w:val="6345432A"/>
    <w:rsid w:val="63DBAF21"/>
    <w:rsid w:val="640953CA"/>
    <w:rsid w:val="641229B2"/>
    <w:rsid w:val="6636451A"/>
    <w:rsid w:val="670D2EF0"/>
    <w:rsid w:val="67DE80AA"/>
    <w:rsid w:val="68444BA9"/>
    <w:rsid w:val="697E3B47"/>
    <w:rsid w:val="69BF132E"/>
    <w:rsid w:val="6A7F7113"/>
    <w:rsid w:val="6BFEE5F3"/>
    <w:rsid w:val="6CAFF34E"/>
    <w:rsid w:val="6CFFCF4F"/>
    <w:rsid w:val="6D1C4F32"/>
    <w:rsid w:val="6D747CDF"/>
    <w:rsid w:val="6DFFF8B6"/>
    <w:rsid w:val="6EEDE807"/>
    <w:rsid w:val="6EEE4BE4"/>
    <w:rsid w:val="6EF65E9C"/>
    <w:rsid w:val="6F3D9197"/>
    <w:rsid w:val="6FAB3EC4"/>
    <w:rsid w:val="6FB6AF41"/>
    <w:rsid w:val="6FD894C8"/>
    <w:rsid w:val="6FE36A9E"/>
    <w:rsid w:val="6FEFB2D1"/>
    <w:rsid w:val="6FFF97E6"/>
    <w:rsid w:val="71213852"/>
    <w:rsid w:val="71397E03"/>
    <w:rsid w:val="71FB5B08"/>
    <w:rsid w:val="73440153"/>
    <w:rsid w:val="73FB87D9"/>
    <w:rsid w:val="75EF0FBA"/>
    <w:rsid w:val="7607C293"/>
    <w:rsid w:val="76DFA4E8"/>
    <w:rsid w:val="778720BD"/>
    <w:rsid w:val="77A7D615"/>
    <w:rsid w:val="77CF4EC7"/>
    <w:rsid w:val="77FF366A"/>
    <w:rsid w:val="77FF8C96"/>
    <w:rsid w:val="77FFA8F9"/>
    <w:rsid w:val="781C7277"/>
    <w:rsid w:val="7976604B"/>
    <w:rsid w:val="79F3BC78"/>
    <w:rsid w:val="7A590072"/>
    <w:rsid w:val="7A5B6CAA"/>
    <w:rsid w:val="7A9314AC"/>
    <w:rsid w:val="7B4F6850"/>
    <w:rsid w:val="7BABD5C4"/>
    <w:rsid w:val="7BB12055"/>
    <w:rsid w:val="7BBFADBA"/>
    <w:rsid w:val="7BFF492D"/>
    <w:rsid w:val="7C631402"/>
    <w:rsid w:val="7C978C63"/>
    <w:rsid w:val="7CA35AD0"/>
    <w:rsid w:val="7CDF8BC3"/>
    <w:rsid w:val="7CEB72A5"/>
    <w:rsid w:val="7D18750B"/>
    <w:rsid w:val="7DDFDC39"/>
    <w:rsid w:val="7E140770"/>
    <w:rsid w:val="7E5D92FB"/>
    <w:rsid w:val="7EB76510"/>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5">
    <w:name w:val="Document Map"/>
    <w:basedOn w:val="1"/>
    <w:link w:val="21"/>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200"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rFonts w:eastAsia="宋体"/>
      <w:sz w:val="18"/>
      <w:szCs w:val="18"/>
    </w:rPr>
  </w:style>
  <w:style w:type="paragraph" w:styleId="10">
    <w:name w:val="Body Text First Indent 2"/>
    <w:basedOn w:val="7"/>
    <w:unhideWhenUsed/>
    <w:qFormat/>
    <w:uiPriority w:val="99"/>
    <w:pPr>
      <w:ind w:firstLine="420" w:firstLineChars="200"/>
    </w:p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9">
    <w:name w:val="四号正文"/>
    <w:basedOn w:val="1"/>
    <w:link w:val="20"/>
    <w:qFormat/>
    <w:uiPriority w:val="0"/>
    <w:pPr>
      <w:spacing w:line="360" w:lineRule="auto"/>
    </w:pPr>
    <w:rPr>
      <w:rFonts w:ascii="??" w:hAnsi="??" w:eastAsia="宋体" w:cs="宋体"/>
      <w:color w:val="000000"/>
      <w:kern w:val="0"/>
      <w:sz w:val="28"/>
      <w:szCs w:val="21"/>
    </w:rPr>
  </w:style>
  <w:style w:type="character" w:customStyle="1" w:styleId="20">
    <w:name w:val="四号正文 Char"/>
    <w:basedOn w:val="14"/>
    <w:link w:val="19"/>
    <w:qFormat/>
    <w:uiPriority w:val="0"/>
    <w:rPr>
      <w:rFonts w:ascii="??" w:hAnsi="??" w:eastAsia="宋体" w:cs="宋体"/>
      <w:color w:val="000000"/>
      <w:sz w:val="28"/>
      <w:szCs w:val="21"/>
      <w:lang w:val="en-US" w:eastAsia="zh-CN" w:bidi="ar-SA"/>
    </w:rPr>
  </w:style>
  <w:style w:type="character" w:customStyle="1" w:styleId="21">
    <w:name w:val="文档结构图 字符"/>
    <w:basedOn w:val="14"/>
    <w:link w:val="5"/>
    <w:qFormat/>
    <w:uiPriority w:val="0"/>
    <w:rPr>
      <w:rFonts w:ascii="宋体"/>
      <w:kern w:val="2"/>
      <w:sz w:val="18"/>
      <w:szCs w:val="18"/>
    </w:rPr>
  </w:style>
  <w:style w:type="paragraph" w:customStyle="1" w:styleId="22">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页脚 字符"/>
    <w:basedOn w:val="14"/>
    <w:link w:val="9"/>
    <w:qFormat/>
    <w:uiPriority w:val="99"/>
    <w:rPr>
      <w:kern w:val="2"/>
      <w:sz w:val="18"/>
      <w:szCs w:val="18"/>
    </w:rPr>
  </w:style>
  <w:style w:type="character" w:customStyle="1" w:styleId="24">
    <w:name w:val="font31"/>
    <w:basedOn w:val="14"/>
    <w:qFormat/>
    <w:uiPriority w:val="0"/>
    <w:rPr>
      <w:rFonts w:hint="eastAsia" w:ascii="宋体" w:hAnsi="宋体" w:eastAsia="宋体" w:cs="宋体"/>
      <w:color w:val="000000"/>
      <w:sz w:val="24"/>
      <w:szCs w:val="24"/>
      <w:u w:val="none"/>
    </w:rPr>
  </w:style>
  <w:style w:type="character" w:customStyle="1" w:styleId="25">
    <w:name w:val="font51"/>
    <w:basedOn w:val="14"/>
    <w:qFormat/>
    <w:uiPriority w:val="0"/>
    <w:rPr>
      <w:rFonts w:hint="default" w:ascii="Wingdings 2" w:hAnsi="Wingdings 2" w:eastAsia="Wingdings 2" w:cs="Wingdings 2"/>
      <w:color w:val="000000"/>
      <w:sz w:val="18"/>
      <w:szCs w:val="18"/>
      <w:u w:val="none"/>
    </w:rPr>
  </w:style>
  <w:style w:type="character" w:customStyle="1" w:styleId="26">
    <w:name w:val="font01"/>
    <w:basedOn w:val="14"/>
    <w:qFormat/>
    <w:uiPriority w:val="0"/>
    <w:rPr>
      <w:rFonts w:ascii="宋体" w:hAnsi="宋体" w:eastAsia="宋体" w:cs="宋体"/>
      <w:color w:val="000000"/>
      <w:sz w:val="18"/>
      <w:szCs w:val="18"/>
      <w:u w:val="none"/>
    </w:rPr>
  </w:style>
  <w:style w:type="character" w:customStyle="1" w:styleId="27">
    <w:name w:val="font41"/>
    <w:basedOn w:val="14"/>
    <w:qFormat/>
    <w:uiPriority w:val="0"/>
    <w:rPr>
      <w:rFonts w:ascii="宋体" w:hAnsi="宋体" w:eastAsia="宋体" w:cs="宋体"/>
      <w:color w:val="000000"/>
      <w:sz w:val="18"/>
      <w:szCs w:val="18"/>
      <w:u w:val="none"/>
    </w:rPr>
  </w:style>
  <w:style w:type="paragraph" w:customStyle="1" w:styleId="28">
    <w:name w:val="表文字"/>
    <w:basedOn w:val="29"/>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29">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14</Pages>
  <Words>4485</Words>
  <Characters>5174</Characters>
  <Lines>56</Lines>
  <Paragraphs>16</Paragraphs>
  <TotalTime>3</TotalTime>
  <ScaleCrop>false</ScaleCrop>
  <LinksUpToDate>false</LinksUpToDate>
  <CharactersWithSpaces>5183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2019-05-29T11:06:00Z</dcterms:created>
  <dc:creator>陈萍</dc:creator>
  <cp:lastModifiedBy>WYS</cp:lastModifiedBy>
  <cp:lastPrinted>2016-02-16T00:25:00Z</cp:lastPrinted>
  <dcterms:modified xsi:type="dcterms:W3CDTF">2025-08-25T08:27:24Z</dcterms:modified>
  <dc:title>区域性就业培训基地建设项目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C0FCC9F4C15575AD2FD1F567C9881326</vt:lpwstr>
  </property>
  <property fmtid="{D5CDD505-2E9C-101B-9397-08002B2CF9AE}" pid="4" name="KSOTemplateDocerSaveRecord">
    <vt:lpwstr>eyJoZGlkIjoiNjk2ZWNkYjI2YTA0OGFiNjRlNjE3NTkwOWU3NmYxYzMiLCJ1c2VySWQiOiIxOTgzODU5ODIifQ==</vt:lpwstr>
  </property>
</Properties>
</file>